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A3E1A" w14:textId="77777777" w:rsidR="00272DF7" w:rsidRPr="00CE6CE1" w:rsidRDefault="00272DF7" w:rsidP="006A1955">
      <w:pPr>
        <w:spacing w:after="0" w:line="240" w:lineRule="auto"/>
        <w:ind w:left="1418"/>
        <w:rPr>
          <w:rFonts w:ascii="Book Antiqua" w:hAnsi="Book Antiqua"/>
        </w:rPr>
      </w:pPr>
      <w:bookmarkStart w:id="0" w:name="_Hlk10147465"/>
      <w:bookmarkEnd w:id="0"/>
      <w:r w:rsidRPr="00CE6CE1">
        <w:rPr>
          <w:rFonts w:ascii="Book Antiqua" w:hAnsi="Book Antiqua"/>
          <w:noProof/>
          <w:lang w:eastAsia="id-ID"/>
        </w:rPr>
        <w:drawing>
          <wp:anchor distT="0" distB="0" distL="114300" distR="114300" simplePos="0" relativeHeight="251660288" behindDoc="0" locked="0" layoutInCell="1" allowOverlap="1" wp14:anchorId="6484348C" wp14:editId="58094815">
            <wp:simplePos x="0" y="0"/>
            <wp:positionH relativeFrom="margin">
              <wp:posOffset>36195</wp:posOffset>
            </wp:positionH>
            <wp:positionV relativeFrom="paragraph">
              <wp:posOffset>-75883</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CE1">
        <w:rPr>
          <w:rFonts w:ascii="Book Antiqua" w:hAnsi="Book Antiqua"/>
        </w:rPr>
        <w:t xml:space="preserve">Volume </w:t>
      </w:r>
      <w:r w:rsidR="009C4C44" w:rsidRPr="00CE6CE1">
        <w:rPr>
          <w:rFonts w:ascii="Book Antiqua" w:hAnsi="Book Antiqua"/>
        </w:rPr>
        <w:t>x</w:t>
      </w:r>
      <w:r w:rsidRPr="00CE6CE1">
        <w:rPr>
          <w:rFonts w:ascii="Book Antiqua" w:hAnsi="Book Antiqua"/>
        </w:rPr>
        <w:t xml:space="preserve"> Issue </w:t>
      </w:r>
      <w:r w:rsidR="009C4C44" w:rsidRPr="00CE6CE1">
        <w:rPr>
          <w:rFonts w:ascii="Book Antiqua" w:hAnsi="Book Antiqua"/>
        </w:rPr>
        <w:t>x</w:t>
      </w:r>
      <w:r w:rsidRPr="00CE6CE1">
        <w:rPr>
          <w:rFonts w:ascii="Book Antiqua" w:hAnsi="Book Antiqua"/>
        </w:rPr>
        <w:t xml:space="preserve"> (</w:t>
      </w:r>
      <w:r w:rsidR="009C4C44" w:rsidRPr="00CE6CE1">
        <w:rPr>
          <w:rFonts w:ascii="Book Antiqua" w:hAnsi="Book Antiqua"/>
        </w:rPr>
        <w:t>xxxx</w:t>
      </w:r>
      <w:r w:rsidRPr="00CE6CE1">
        <w:rPr>
          <w:rFonts w:ascii="Book Antiqua" w:hAnsi="Book Antiqua"/>
        </w:rPr>
        <w:t xml:space="preserve">) Pages </w:t>
      </w:r>
      <w:r w:rsidR="009C4C44" w:rsidRPr="00CE6CE1">
        <w:rPr>
          <w:rFonts w:ascii="Book Antiqua" w:hAnsi="Book Antiqua"/>
        </w:rPr>
        <w:t>x</w:t>
      </w:r>
      <w:r w:rsidRPr="00CE6CE1">
        <w:rPr>
          <w:rFonts w:ascii="Book Antiqua" w:hAnsi="Book Antiqua"/>
        </w:rPr>
        <w:t>-</w:t>
      </w:r>
      <w:r w:rsidR="009C4C44" w:rsidRPr="00CE6CE1">
        <w:rPr>
          <w:rFonts w:ascii="Book Antiqua" w:hAnsi="Book Antiqua"/>
        </w:rPr>
        <w:t>xx</w:t>
      </w:r>
    </w:p>
    <w:p w14:paraId="7CFD4641" w14:textId="77777777" w:rsidR="00272DF7" w:rsidRPr="00787CB6" w:rsidRDefault="00272DF7" w:rsidP="006A1955">
      <w:pPr>
        <w:pBdr>
          <w:bottom w:val="single" w:sz="6" w:space="1" w:color="auto"/>
        </w:pBdr>
        <w:spacing w:after="0" w:line="240" w:lineRule="auto"/>
        <w:ind w:left="1418"/>
        <w:rPr>
          <w:rFonts w:ascii="Book Antiqua" w:hAnsi="Book Antiqua"/>
          <w:b/>
          <w:bCs/>
          <w:sz w:val="26"/>
          <w:szCs w:val="26"/>
        </w:rPr>
      </w:pPr>
      <w:r w:rsidRPr="00787CB6">
        <w:rPr>
          <w:rFonts w:ascii="Book Antiqua" w:hAnsi="Book Antiqua"/>
          <w:b/>
          <w:bCs/>
          <w:sz w:val="26"/>
          <w:szCs w:val="26"/>
        </w:rPr>
        <w:t>Jurnal Obsesi : Jurnal Pendidikan Anak Usia Dini</w:t>
      </w:r>
    </w:p>
    <w:p w14:paraId="1B7D3183" w14:textId="77777777" w:rsidR="00272DF7" w:rsidRPr="00CE6CE1" w:rsidRDefault="00272DF7" w:rsidP="006A1955">
      <w:pPr>
        <w:pBdr>
          <w:bottom w:val="single" w:sz="6" w:space="1" w:color="auto"/>
        </w:pBdr>
        <w:spacing w:after="0" w:line="240" w:lineRule="auto"/>
        <w:ind w:left="1418"/>
        <w:rPr>
          <w:rFonts w:ascii="Book Antiqua" w:hAnsi="Book Antiqua"/>
          <w:bCs/>
        </w:rPr>
      </w:pPr>
      <w:r w:rsidRPr="00CE6CE1">
        <w:rPr>
          <w:rFonts w:ascii="Book Antiqua" w:hAnsi="Book Antiqua"/>
          <w:bCs/>
        </w:rPr>
        <w:t>ISSN: 2549-8959 (Online) 2356-1327 (Print)</w:t>
      </w:r>
    </w:p>
    <w:p w14:paraId="7C0B97FB" w14:textId="086EB8CF" w:rsidR="00F20D63" w:rsidRPr="00EE5361" w:rsidRDefault="00EE5361" w:rsidP="006A1955">
      <w:pPr>
        <w:autoSpaceDE w:val="0"/>
        <w:autoSpaceDN w:val="0"/>
        <w:adjustRightInd w:val="0"/>
        <w:spacing w:after="0" w:line="240" w:lineRule="auto"/>
        <w:rPr>
          <w:rFonts w:ascii="Book Antiqua" w:eastAsia="Arial Unicode MS" w:hAnsi="Book Antiqua" w:cs="Times New Roman"/>
          <w:b/>
          <w:sz w:val="36"/>
          <w:szCs w:val="36"/>
          <w:lang w:val="en-US"/>
        </w:rPr>
      </w:pPr>
      <w:r w:rsidRPr="00EE5361">
        <w:rPr>
          <w:rFonts w:ascii="Book Antiqua" w:eastAsia="Arial Unicode MS" w:hAnsi="Book Antiqua" w:cs="Times New Roman"/>
          <w:b/>
          <w:sz w:val="36"/>
          <w:szCs w:val="36"/>
        </w:rPr>
        <w:t>Pola Asuh Orang Tua Sebagai Upaya Meningkatkan Adversity Quotient dan Motovasi Belaja</w:t>
      </w:r>
      <w:r>
        <w:rPr>
          <w:rFonts w:ascii="Book Antiqua" w:eastAsia="Arial Unicode MS" w:hAnsi="Book Antiqua" w:cs="Times New Roman"/>
          <w:b/>
          <w:sz w:val="36"/>
          <w:szCs w:val="36"/>
          <w:lang w:val="en-US"/>
        </w:rPr>
        <w:t xml:space="preserve">r Anak </w:t>
      </w:r>
      <w:proofErr w:type="spellStart"/>
      <w:r>
        <w:rPr>
          <w:rFonts w:ascii="Book Antiqua" w:eastAsia="Arial Unicode MS" w:hAnsi="Book Antiqua" w:cs="Times New Roman"/>
          <w:b/>
          <w:sz w:val="36"/>
          <w:szCs w:val="36"/>
          <w:lang w:val="en-US"/>
        </w:rPr>
        <w:t>Usia</w:t>
      </w:r>
      <w:proofErr w:type="spellEnd"/>
      <w:r>
        <w:rPr>
          <w:rFonts w:ascii="Book Antiqua" w:eastAsia="Arial Unicode MS" w:hAnsi="Book Antiqua" w:cs="Times New Roman"/>
          <w:b/>
          <w:sz w:val="36"/>
          <w:szCs w:val="36"/>
          <w:lang w:val="en-US"/>
        </w:rPr>
        <w:t xml:space="preserve"> Dini </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1A75B5C1" w14:textId="3AFBB033" w:rsidR="006F14D5" w:rsidRPr="00490485" w:rsidRDefault="00EE5361" w:rsidP="006A1955">
      <w:pPr>
        <w:autoSpaceDE w:val="0"/>
        <w:autoSpaceDN w:val="0"/>
        <w:adjustRightInd w:val="0"/>
        <w:spacing w:after="0" w:line="240" w:lineRule="auto"/>
        <w:rPr>
          <w:rFonts w:ascii="Book Antiqua" w:hAnsi="Book Antiqua" w:cs="Times New Roman"/>
          <w:b/>
          <w:bCs/>
          <w:color w:val="000000"/>
          <w:sz w:val="28"/>
          <w:szCs w:val="28"/>
        </w:rPr>
      </w:pPr>
      <w:proofErr w:type="spellStart"/>
      <w:r>
        <w:rPr>
          <w:rFonts w:ascii="Book Antiqua" w:hAnsi="Book Antiqua" w:cs="Times New Roman"/>
          <w:b/>
          <w:bCs/>
          <w:color w:val="000000"/>
          <w:sz w:val="28"/>
          <w:szCs w:val="28"/>
          <w:lang w:val="en-US"/>
        </w:rPr>
        <w:t>Ratno</w:t>
      </w:r>
      <w:proofErr w:type="spellEnd"/>
      <w:r>
        <w:rPr>
          <w:rFonts w:ascii="Book Antiqua" w:hAnsi="Book Antiqua" w:cs="Times New Roman"/>
          <w:b/>
          <w:bCs/>
          <w:color w:val="000000"/>
          <w:sz w:val="28"/>
          <w:szCs w:val="28"/>
          <w:lang w:val="en-US"/>
        </w:rPr>
        <w:t xml:space="preserve"> Abidin</w:t>
      </w:r>
      <w:r w:rsidR="006A1955" w:rsidRPr="00490485">
        <w:rPr>
          <w:rFonts w:ascii="Book Antiqua" w:hAnsi="Book Antiqua" w:cs="Times New Roman"/>
          <w:b/>
          <w:bCs/>
          <w:color w:val="000000"/>
          <w:sz w:val="28"/>
          <w:szCs w:val="28"/>
          <w:vertAlign w:val="superscript"/>
        </w:rPr>
        <w:t>1</w:t>
      </w:r>
      <w:r w:rsidR="007F2A8E" w:rsidRPr="00490485">
        <w:rPr>
          <w:rFonts w:ascii="Book Antiqua" w:hAnsi="Book Antiqua" w:cs="Times New Roman"/>
          <w:b/>
          <w:bCs/>
          <w:color w:val="000000"/>
          <w:sz w:val="28"/>
          <w:szCs w:val="28"/>
          <w:vertAlign w:val="superscript"/>
        </w:rPr>
        <w:sym w:font="Wingdings" w:char="F02A"/>
      </w:r>
      <w:r w:rsidR="009B7C2C" w:rsidRPr="00490485">
        <w:rPr>
          <w:rFonts w:ascii="Book Antiqua" w:hAnsi="Book Antiqua" w:cs="Times New Roman"/>
          <w:b/>
          <w:bCs/>
          <w:color w:val="000000"/>
          <w:sz w:val="28"/>
          <w:szCs w:val="28"/>
        </w:rPr>
        <w:t xml:space="preserve">, </w:t>
      </w:r>
      <w:r>
        <w:rPr>
          <w:rFonts w:ascii="Book Antiqua" w:hAnsi="Book Antiqua" w:cs="Times New Roman"/>
          <w:b/>
          <w:bCs/>
          <w:color w:val="000000"/>
          <w:sz w:val="28"/>
          <w:szCs w:val="28"/>
          <w:lang w:val="en-US"/>
        </w:rPr>
        <w:t>Asy’ari</w:t>
      </w:r>
      <w:r w:rsidR="009B7C2C" w:rsidRPr="00490485">
        <w:rPr>
          <w:rFonts w:ascii="Book Antiqua" w:hAnsi="Book Antiqua" w:cs="Times New Roman"/>
          <w:b/>
          <w:bCs/>
          <w:color w:val="000000"/>
          <w:sz w:val="28"/>
          <w:szCs w:val="28"/>
          <w:vertAlign w:val="superscript"/>
        </w:rPr>
        <w:t>2</w:t>
      </w:r>
    </w:p>
    <w:p w14:paraId="30CA6E4D" w14:textId="09A8C14E" w:rsidR="00C4133F" w:rsidRDefault="002D4F8F" w:rsidP="006A1955">
      <w:pPr>
        <w:autoSpaceDE w:val="0"/>
        <w:autoSpaceDN w:val="0"/>
        <w:adjustRightInd w:val="0"/>
        <w:spacing w:after="0" w:line="240" w:lineRule="auto"/>
        <w:rPr>
          <w:rFonts w:ascii="Book Antiqua" w:hAnsi="Book Antiqua"/>
          <w:vertAlign w:val="superscript"/>
          <w:lang w:val="en-US"/>
        </w:rPr>
      </w:pPr>
      <w:r w:rsidRPr="002D4F8F">
        <w:rPr>
          <w:rFonts w:ascii="Book Antiqua" w:hAnsi="Book Antiqua"/>
        </w:rPr>
        <w:t xml:space="preserve">Pendidikan Guru Pendidikan Anak Usia Dini, Universitas </w:t>
      </w:r>
      <w:r>
        <w:rPr>
          <w:rFonts w:ascii="Book Antiqua" w:hAnsi="Book Antiqua"/>
          <w:lang w:val="en-US"/>
        </w:rPr>
        <w:t>Muhammadiyah</w:t>
      </w:r>
      <w:r w:rsidRPr="002D4F8F">
        <w:rPr>
          <w:rFonts w:ascii="Book Antiqua" w:hAnsi="Book Antiqua"/>
        </w:rPr>
        <w:t xml:space="preserve"> Surabaya, Indonesia</w:t>
      </w:r>
      <w:r w:rsidRPr="002D4F8F">
        <w:rPr>
          <w:rFonts w:ascii="Book Antiqua" w:hAnsi="Book Antiqua"/>
          <w:vertAlign w:val="superscript"/>
          <w:lang w:val="en-US"/>
        </w:rPr>
        <w:t>1</w:t>
      </w:r>
    </w:p>
    <w:p w14:paraId="1F3705DD" w14:textId="68A8AA67" w:rsidR="002D4F8F" w:rsidRDefault="002D4F8F" w:rsidP="002D4F8F">
      <w:pPr>
        <w:autoSpaceDE w:val="0"/>
        <w:autoSpaceDN w:val="0"/>
        <w:adjustRightInd w:val="0"/>
        <w:spacing w:after="0" w:line="240" w:lineRule="auto"/>
        <w:rPr>
          <w:rFonts w:ascii="Book Antiqua" w:hAnsi="Book Antiqua"/>
          <w:vertAlign w:val="superscript"/>
          <w:lang w:val="en-US"/>
        </w:rPr>
      </w:pPr>
      <w:r w:rsidRPr="002D4F8F">
        <w:rPr>
          <w:rFonts w:ascii="Book Antiqua" w:hAnsi="Book Antiqua"/>
        </w:rPr>
        <w:t xml:space="preserve">Pendidikan </w:t>
      </w:r>
      <w:proofErr w:type="spellStart"/>
      <w:r>
        <w:rPr>
          <w:rFonts w:ascii="Book Antiqua" w:hAnsi="Book Antiqua"/>
          <w:lang w:val="en-US"/>
        </w:rPr>
        <w:t>Biologi</w:t>
      </w:r>
      <w:proofErr w:type="spellEnd"/>
      <w:r w:rsidRPr="002D4F8F">
        <w:rPr>
          <w:rFonts w:ascii="Book Antiqua" w:hAnsi="Book Antiqua"/>
        </w:rPr>
        <w:t xml:space="preserve">, Universitas </w:t>
      </w:r>
      <w:r>
        <w:rPr>
          <w:rFonts w:ascii="Book Antiqua" w:hAnsi="Book Antiqua"/>
          <w:lang w:val="en-US"/>
        </w:rPr>
        <w:t>Muhammadiyah</w:t>
      </w:r>
      <w:r w:rsidRPr="002D4F8F">
        <w:rPr>
          <w:rFonts w:ascii="Book Antiqua" w:hAnsi="Book Antiqua"/>
        </w:rPr>
        <w:t xml:space="preserve"> Surabaya, Indonesia</w:t>
      </w:r>
      <w:r>
        <w:rPr>
          <w:rFonts w:ascii="Book Antiqua" w:hAnsi="Book Antiqua"/>
          <w:vertAlign w:val="superscript"/>
          <w:lang w:val="en-US"/>
        </w:rPr>
        <w:t>2</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7A5542C3" w14:textId="75E836F7" w:rsidR="009B7C2C" w:rsidRDefault="00C4133F" w:rsidP="009B7C2C">
      <w:pPr>
        <w:pStyle w:val="BodyText"/>
        <w:spacing w:after="0" w:line="240" w:lineRule="auto"/>
        <w:jc w:val="both"/>
        <w:rPr>
          <w:rFonts w:ascii="Book Antiqua" w:hAnsi="Book Antiqua" w:cs="Times New Roman"/>
          <w:b/>
          <w:sz w:val="26"/>
          <w:szCs w:val="26"/>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61041A62" w14:textId="61A45B97" w:rsidR="007D4702" w:rsidRPr="007D4702" w:rsidRDefault="007D4702" w:rsidP="007D4702">
      <w:pPr>
        <w:spacing w:after="0" w:line="240" w:lineRule="auto"/>
        <w:jc w:val="both"/>
        <w:rPr>
          <w:rFonts w:ascii="Book Antiqua" w:hAnsi="Book Antiqua" w:cs="Times New Roman"/>
        </w:rPr>
      </w:pPr>
      <w:r w:rsidRPr="007D4702">
        <w:rPr>
          <w:rFonts w:ascii="Book Antiqua" w:hAnsi="Book Antiqua" w:cs="Times New Roman"/>
          <w:bCs/>
        </w:rPr>
        <w:t xml:space="preserve">Tujuan dari penelitian ini adalah untuk mengetahui </w:t>
      </w:r>
      <w:r w:rsidRPr="007D4702">
        <w:rPr>
          <w:rFonts w:ascii="Book Antiqua" w:eastAsia="Arial Unicode MS" w:hAnsi="Book Antiqua" w:cs="Times New Roman"/>
        </w:rPr>
        <w:t>Analisis Pola Asuh  Orang Tua Sebagai Upaya Meningktkan Adversity Dan Motivasi Belajar Siswa T</w:t>
      </w:r>
      <w:r>
        <w:rPr>
          <w:rFonts w:ascii="Book Antiqua" w:eastAsia="Arial Unicode MS" w:hAnsi="Book Antiqua" w:cs="Times New Roman"/>
          <w:lang w:val="en-US"/>
        </w:rPr>
        <w:t>K</w:t>
      </w:r>
      <w:r w:rsidRPr="007D4702">
        <w:rPr>
          <w:rFonts w:ascii="Book Antiqua" w:eastAsia="Arial Unicode MS" w:hAnsi="Book Antiqua" w:cs="Times New Roman"/>
        </w:rPr>
        <w:t xml:space="preserve"> </w:t>
      </w:r>
      <w:proofErr w:type="spellStart"/>
      <w:r>
        <w:rPr>
          <w:rFonts w:ascii="Book Antiqua" w:eastAsia="Arial Unicode MS" w:hAnsi="Book Antiqua" w:cs="Times New Roman"/>
          <w:lang w:val="en-US"/>
        </w:rPr>
        <w:t>Aisyiyah</w:t>
      </w:r>
      <w:proofErr w:type="spellEnd"/>
      <w:r>
        <w:rPr>
          <w:rFonts w:ascii="Book Antiqua" w:eastAsia="Arial Unicode MS" w:hAnsi="Book Antiqua" w:cs="Times New Roman"/>
          <w:lang w:val="en-US"/>
        </w:rPr>
        <w:t xml:space="preserve"> 5</w:t>
      </w:r>
      <w:r w:rsidR="00EF4E84">
        <w:rPr>
          <w:rFonts w:ascii="Book Antiqua" w:eastAsia="Arial Unicode MS" w:hAnsi="Book Antiqua" w:cs="Times New Roman"/>
          <w:lang w:val="en-US"/>
        </w:rPr>
        <w:t>8</w:t>
      </w:r>
      <w:r>
        <w:rPr>
          <w:rFonts w:ascii="Book Antiqua" w:eastAsia="Arial Unicode MS" w:hAnsi="Book Antiqua" w:cs="Times New Roman"/>
          <w:lang w:val="en-US"/>
        </w:rPr>
        <w:t xml:space="preserve"> Surabaya</w:t>
      </w:r>
      <w:r w:rsidRPr="007D4702">
        <w:rPr>
          <w:rFonts w:ascii="Book Antiqua" w:eastAsia="Arial Unicode MS" w:hAnsi="Book Antiqua" w:cs="Times New Roman"/>
        </w:rPr>
        <w:t>. Pola asuh orang tua dapat menjadi bagian dari upaya meningkatkan adversity dan motivasi belajar siswa. Metode penelitian yang digunakan dalam penelitian ini menggunakan koalitatif deskriptif. Dengan teknik penumpulan data secara observasi, wawancara, dokumentasi dan audio visual. Analisis data yang digunakan secara deskriptif</w:t>
      </w:r>
      <w:r w:rsidRPr="007D4702">
        <w:rPr>
          <w:rFonts w:ascii="Book Antiqua" w:hAnsi="Book Antiqua" w:cs="Times New Roman"/>
          <w:bCs/>
        </w:rPr>
        <w:t xml:space="preserve"> seperti </w:t>
      </w:r>
      <w:r w:rsidRPr="007D4702">
        <w:rPr>
          <w:rFonts w:ascii="Book Antiqua" w:hAnsi="Book Antiqua" w:cs="Times New Roman"/>
          <w:noProof/>
        </w:rPr>
        <w:t xml:space="preserve">reduksi data, display data, verifikasi data. Kemudian dilkukan keabsahan data dengan </w:t>
      </w:r>
      <w:r w:rsidRPr="007D4702">
        <w:rPr>
          <w:rFonts w:ascii="Book Antiqua" w:hAnsi="Book Antiqua" w:cs="Times New Roman"/>
        </w:rPr>
        <w:t xml:space="preserve">teknik Triangulasi. Hasil penelitian yang diperoleh dalam penelitian ini adalah </w:t>
      </w:r>
      <w:r w:rsidRPr="007D4702">
        <w:rPr>
          <w:rFonts w:ascii="Book Antiqua" w:hAnsi="Book Antiqua" w:cs="Times New Roman"/>
          <w:bCs/>
        </w:rPr>
        <w:t>b</w:t>
      </w:r>
      <w:r w:rsidRPr="007D4702">
        <w:rPr>
          <w:rFonts w:ascii="Book Antiqua" w:hAnsi="Book Antiqua" w:cs="Times New Roman"/>
        </w:rPr>
        <w:t xml:space="preserve">ahwa pola asuh orang tua dibedakan menjadi tiga yaitu pola asuh otoriter, pola asuh permissif dan pola asuh demokratis. </w:t>
      </w:r>
      <w:r w:rsidRPr="007D4702">
        <w:rPr>
          <w:rFonts w:ascii="Book Antiqua" w:hAnsi="Book Antiqua" w:cs="Times New Roman"/>
          <w:bCs/>
        </w:rPr>
        <w:t xml:space="preserve">Dengan pola asuh orang tua yang baik memiliki dampak tersendiri dalam meningkatkan </w:t>
      </w:r>
      <w:r w:rsidRPr="007D4702">
        <w:rPr>
          <w:rFonts w:ascii="Book Antiqua" w:eastAsia="Arial Unicode MS" w:hAnsi="Book Antiqua" w:cs="Times New Roman"/>
        </w:rPr>
        <w:t xml:space="preserve">Adversity Quotient dan motivasi belajar siswa </w:t>
      </w:r>
      <w:r>
        <w:rPr>
          <w:rFonts w:ascii="Book Antiqua" w:eastAsia="Arial Unicode MS" w:hAnsi="Book Antiqua" w:cs="Times New Roman"/>
          <w:lang w:val="en-US"/>
        </w:rPr>
        <w:t>d</w:t>
      </w:r>
      <w:r w:rsidRPr="007D4702">
        <w:rPr>
          <w:rFonts w:ascii="Book Antiqua" w:eastAsia="Arial Unicode MS" w:hAnsi="Book Antiqua" w:cs="Times New Roman"/>
        </w:rPr>
        <w:t xml:space="preserve">an </w:t>
      </w:r>
      <w:r>
        <w:rPr>
          <w:rFonts w:ascii="Book Antiqua" w:eastAsia="Arial Unicode MS" w:hAnsi="Book Antiqua" w:cs="Times New Roman"/>
          <w:lang w:val="en-US"/>
        </w:rPr>
        <w:t>m</w:t>
      </w:r>
      <w:r w:rsidRPr="007D4702">
        <w:rPr>
          <w:rFonts w:ascii="Book Antiqua" w:eastAsia="Arial Unicode MS" w:hAnsi="Book Antiqua" w:cs="Times New Roman"/>
        </w:rPr>
        <w:t xml:space="preserve">otivasi </w:t>
      </w:r>
      <w:r>
        <w:rPr>
          <w:rFonts w:ascii="Book Antiqua" w:eastAsia="Arial Unicode MS" w:hAnsi="Book Antiqua" w:cs="Times New Roman"/>
          <w:lang w:val="en-US"/>
        </w:rPr>
        <w:t>b</w:t>
      </w:r>
      <w:r w:rsidRPr="007D4702">
        <w:rPr>
          <w:rFonts w:ascii="Book Antiqua" w:eastAsia="Arial Unicode MS" w:hAnsi="Book Antiqua" w:cs="Times New Roman"/>
        </w:rPr>
        <w:t xml:space="preserve">elajar </w:t>
      </w:r>
      <w:proofErr w:type="spellStart"/>
      <w:r>
        <w:rPr>
          <w:rFonts w:ascii="Book Antiqua" w:eastAsia="Arial Unicode MS" w:hAnsi="Book Antiqua" w:cs="Times New Roman"/>
          <w:lang w:val="en-US"/>
        </w:rPr>
        <w:t>anak</w:t>
      </w:r>
      <w:proofErr w:type="spellEnd"/>
      <w:r>
        <w:rPr>
          <w:rFonts w:ascii="Book Antiqua" w:eastAsia="Arial Unicode MS" w:hAnsi="Book Antiqua" w:cs="Times New Roman"/>
          <w:lang w:val="en-US"/>
        </w:rPr>
        <w:t xml:space="preserve"> </w:t>
      </w:r>
      <w:proofErr w:type="spellStart"/>
      <w:r>
        <w:rPr>
          <w:rFonts w:ascii="Book Antiqua" w:eastAsia="Arial Unicode MS" w:hAnsi="Book Antiqua" w:cs="Times New Roman"/>
          <w:lang w:val="en-US"/>
        </w:rPr>
        <w:t>usia</w:t>
      </w:r>
      <w:proofErr w:type="spellEnd"/>
      <w:r>
        <w:rPr>
          <w:rFonts w:ascii="Book Antiqua" w:eastAsia="Arial Unicode MS" w:hAnsi="Book Antiqua" w:cs="Times New Roman"/>
          <w:lang w:val="en-US"/>
        </w:rPr>
        <w:t xml:space="preserve"> </w:t>
      </w:r>
      <w:proofErr w:type="spellStart"/>
      <w:r>
        <w:rPr>
          <w:rFonts w:ascii="Book Antiqua" w:eastAsia="Arial Unicode MS" w:hAnsi="Book Antiqua" w:cs="Times New Roman"/>
          <w:lang w:val="en-US"/>
        </w:rPr>
        <w:t>dini</w:t>
      </w:r>
      <w:proofErr w:type="spellEnd"/>
      <w:r w:rsidRPr="007D4702">
        <w:rPr>
          <w:rFonts w:ascii="Book Antiqua" w:eastAsia="Arial Unicode MS" w:hAnsi="Book Antiqua" w:cs="Times New Roman"/>
        </w:rPr>
        <w:t xml:space="preserve"> T</w:t>
      </w:r>
      <w:r>
        <w:rPr>
          <w:rFonts w:ascii="Book Antiqua" w:eastAsia="Arial Unicode MS" w:hAnsi="Book Antiqua" w:cs="Times New Roman"/>
          <w:lang w:val="en-US"/>
        </w:rPr>
        <w:t>K</w:t>
      </w:r>
      <w:r w:rsidRPr="007D4702">
        <w:rPr>
          <w:rFonts w:ascii="Book Antiqua" w:eastAsia="Arial Unicode MS" w:hAnsi="Book Antiqua" w:cs="Times New Roman"/>
        </w:rPr>
        <w:t xml:space="preserve"> </w:t>
      </w:r>
      <w:proofErr w:type="spellStart"/>
      <w:r>
        <w:rPr>
          <w:rFonts w:ascii="Book Antiqua" w:eastAsia="Arial Unicode MS" w:hAnsi="Book Antiqua" w:cs="Times New Roman"/>
          <w:lang w:val="en-US"/>
        </w:rPr>
        <w:t>Aisyiyah</w:t>
      </w:r>
      <w:proofErr w:type="spellEnd"/>
      <w:r>
        <w:rPr>
          <w:rFonts w:ascii="Book Antiqua" w:eastAsia="Arial Unicode MS" w:hAnsi="Book Antiqua" w:cs="Times New Roman"/>
          <w:lang w:val="en-US"/>
        </w:rPr>
        <w:t xml:space="preserve"> 5</w:t>
      </w:r>
      <w:r w:rsidR="00EF4E84">
        <w:rPr>
          <w:rFonts w:ascii="Book Antiqua" w:eastAsia="Arial Unicode MS" w:hAnsi="Book Antiqua" w:cs="Times New Roman"/>
          <w:lang w:val="en-US"/>
        </w:rPr>
        <w:t>8</w:t>
      </w:r>
      <w:r>
        <w:rPr>
          <w:rFonts w:ascii="Book Antiqua" w:eastAsia="Arial Unicode MS" w:hAnsi="Book Antiqua" w:cs="Times New Roman"/>
          <w:lang w:val="en-US"/>
        </w:rPr>
        <w:t xml:space="preserve"> Surabaya</w:t>
      </w:r>
      <w:r w:rsidRPr="007D4702">
        <w:rPr>
          <w:rFonts w:ascii="Book Antiqua" w:eastAsia="Arial Unicode MS" w:hAnsi="Book Antiqua" w:cs="Times New Roman"/>
        </w:rPr>
        <w:t xml:space="preserve">. </w:t>
      </w:r>
      <w:r w:rsidRPr="007D4702">
        <w:rPr>
          <w:rFonts w:ascii="Book Antiqua" w:hAnsi="Book Antiqua" w:cs="Times New Roman"/>
        </w:rPr>
        <w:t xml:space="preserve">Kemampuan anak menghadapi kesulitan akan menjadi solusi dalam kehidupannya. Dengan demikian kesulitan atau kegagalan belajar bukan untuk dihindari tapi dihadapi dan mengubahnya menjadi solusi dalam kehidupan seorang anak yang dapat meningkatkan prestasi belajar. </w:t>
      </w:r>
    </w:p>
    <w:p w14:paraId="09A5160C" w14:textId="72D650F7" w:rsidR="0061593B" w:rsidRPr="0061593B" w:rsidRDefault="00F52EC1" w:rsidP="0061593B">
      <w:pPr>
        <w:pStyle w:val="abstrak"/>
        <w:ind w:left="0" w:right="57"/>
        <w:rPr>
          <w:rFonts w:ascii="Book Antiqua" w:hAnsi="Book Antiqua"/>
          <w:sz w:val="22"/>
          <w:szCs w:val="22"/>
          <w:lang w:val="id-ID"/>
        </w:rPr>
      </w:pPr>
      <w:r w:rsidRPr="005474D6">
        <w:rPr>
          <w:rFonts w:ascii="Book Antiqua" w:hAnsi="Book Antiqua"/>
          <w:b/>
          <w:sz w:val="22"/>
          <w:szCs w:val="22"/>
          <w:lang w:val="id-ID"/>
        </w:rPr>
        <w:t xml:space="preserve">Kata Kunci: </w:t>
      </w:r>
      <w:proofErr w:type="spellStart"/>
      <w:r w:rsidR="0061593B" w:rsidRPr="0061593B">
        <w:rPr>
          <w:rFonts w:ascii="Book Antiqua" w:hAnsi="Book Antiqua"/>
          <w:i/>
          <w:iCs/>
          <w:sz w:val="22"/>
          <w:szCs w:val="22"/>
        </w:rPr>
        <w:t>pola</w:t>
      </w:r>
      <w:proofErr w:type="spellEnd"/>
      <w:r w:rsidR="0061593B" w:rsidRPr="0061593B">
        <w:rPr>
          <w:rFonts w:ascii="Book Antiqua" w:hAnsi="Book Antiqua"/>
          <w:i/>
          <w:iCs/>
          <w:sz w:val="22"/>
          <w:szCs w:val="22"/>
        </w:rPr>
        <w:t xml:space="preserve"> </w:t>
      </w:r>
      <w:proofErr w:type="spellStart"/>
      <w:r w:rsidR="0061593B" w:rsidRPr="0061593B">
        <w:rPr>
          <w:rFonts w:ascii="Book Antiqua" w:hAnsi="Book Antiqua"/>
          <w:i/>
          <w:iCs/>
          <w:sz w:val="22"/>
          <w:szCs w:val="22"/>
        </w:rPr>
        <w:t>asuh</w:t>
      </w:r>
      <w:proofErr w:type="spellEnd"/>
      <w:r w:rsidR="0061593B" w:rsidRPr="0061593B">
        <w:rPr>
          <w:rFonts w:ascii="Book Antiqua" w:hAnsi="Book Antiqua"/>
          <w:i/>
          <w:iCs/>
          <w:sz w:val="22"/>
          <w:szCs w:val="22"/>
        </w:rPr>
        <w:t xml:space="preserve">, orang </w:t>
      </w:r>
      <w:proofErr w:type="spellStart"/>
      <w:r w:rsidR="0061593B" w:rsidRPr="0061593B">
        <w:rPr>
          <w:rFonts w:ascii="Book Antiqua" w:hAnsi="Book Antiqua"/>
          <w:i/>
          <w:iCs/>
          <w:sz w:val="22"/>
          <w:szCs w:val="22"/>
        </w:rPr>
        <w:t>tua</w:t>
      </w:r>
      <w:proofErr w:type="spellEnd"/>
      <w:r w:rsidR="0061593B" w:rsidRPr="0061593B">
        <w:rPr>
          <w:rFonts w:ascii="Book Antiqua" w:hAnsi="Book Antiqua"/>
          <w:i/>
          <w:iCs/>
          <w:sz w:val="22"/>
          <w:szCs w:val="22"/>
        </w:rPr>
        <w:t xml:space="preserve">, </w:t>
      </w:r>
      <w:r w:rsidR="0061593B" w:rsidRPr="0061593B">
        <w:rPr>
          <w:rFonts w:ascii="Book Antiqua" w:eastAsia="Arial Unicode MS" w:hAnsi="Book Antiqua"/>
          <w:i/>
          <w:iCs/>
          <w:sz w:val="22"/>
          <w:szCs w:val="22"/>
        </w:rPr>
        <w:t>adversity</w:t>
      </w:r>
      <w:r w:rsidR="0061593B" w:rsidRPr="0061593B">
        <w:rPr>
          <w:rFonts w:ascii="Book Antiqua" w:eastAsia="Arial Unicode MS" w:hAnsi="Book Antiqua"/>
          <w:i/>
          <w:iCs/>
          <w:sz w:val="22"/>
          <w:szCs w:val="22"/>
          <w:lang w:val="id-ID"/>
        </w:rPr>
        <w:t xml:space="preserve"> </w:t>
      </w:r>
      <w:r w:rsidR="0061593B" w:rsidRPr="0061593B">
        <w:rPr>
          <w:rFonts w:ascii="Book Antiqua" w:eastAsia="Arial Unicode MS" w:hAnsi="Book Antiqua"/>
          <w:i/>
          <w:iCs/>
          <w:sz w:val="22"/>
          <w:szCs w:val="22"/>
        </w:rPr>
        <w:t xml:space="preserve">quotient, </w:t>
      </w:r>
      <w:proofErr w:type="spellStart"/>
      <w:r w:rsidR="0061593B" w:rsidRPr="0061593B">
        <w:rPr>
          <w:rFonts w:ascii="Book Antiqua" w:eastAsia="Arial Unicode MS" w:hAnsi="Book Antiqua"/>
          <w:i/>
          <w:iCs/>
          <w:sz w:val="22"/>
          <w:szCs w:val="22"/>
        </w:rPr>
        <w:t>motivasi</w:t>
      </w:r>
      <w:proofErr w:type="spellEnd"/>
      <w:r w:rsidR="0061593B" w:rsidRPr="0061593B">
        <w:rPr>
          <w:rFonts w:ascii="Book Antiqua" w:eastAsia="Arial Unicode MS" w:hAnsi="Book Antiqua"/>
          <w:i/>
          <w:iCs/>
          <w:sz w:val="22"/>
          <w:szCs w:val="22"/>
        </w:rPr>
        <w:t xml:space="preserve"> </w:t>
      </w:r>
      <w:proofErr w:type="spellStart"/>
      <w:r w:rsidR="0061593B" w:rsidRPr="0061593B">
        <w:rPr>
          <w:rFonts w:ascii="Book Antiqua" w:eastAsia="Arial Unicode MS" w:hAnsi="Book Antiqua"/>
          <w:i/>
          <w:iCs/>
          <w:sz w:val="22"/>
          <w:szCs w:val="22"/>
        </w:rPr>
        <w:t>belajar</w:t>
      </w:r>
      <w:proofErr w:type="spellEnd"/>
      <w:r w:rsidR="00EF4E84">
        <w:rPr>
          <w:rFonts w:ascii="Book Antiqua" w:eastAsia="Arial Unicode MS" w:hAnsi="Book Antiqua"/>
          <w:i/>
          <w:iCs/>
          <w:sz w:val="22"/>
          <w:szCs w:val="22"/>
        </w:rPr>
        <w:t>.</w:t>
      </w:r>
    </w:p>
    <w:p w14:paraId="0679CC73" w14:textId="77777777" w:rsidR="0061593B" w:rsidRPr="005474D6" w:rsidRDefault="0061593B" w:rsidP="006A1955">
      <w:pPr>
        <w:pStyle w:val="abstrak"/>
        <w:ind w:left="0" w:right="57"/>
        <w:rPr>
          <w:rFonts w:ascii="Book Antiqua" w:hAnsi="Book Antiqua"/>
          <w:sz w:val="22"/>
          <w:szCs w:val="22"/>
          <w:lang w:val="id-ID"/>
        </w:rPr>
      </w:pPr>
    </w:p>
    <w:p w14:paraId="2B0C7E6B" w14:textId="510CCB0B" w:rsidR="0061593B" w:rsidRPr="00AE7D7D" w:rsidRDefault="00F52EC1" w:rsidP="0061593B">
      <w:pPr>
        <w:spacing w:after="0"/>
        <w:jc w:val="both"/>
        <w:rPr>
          <w:rFonts w:ascii="Book Antiqua" w:hAnsi="Book Antiqua" w:cs="Times New Roman"/>
          <w:bCs/>
        </w:rPr>
      </w:pPr>
      <w:r w:rsidRPr="009B7C2C">
        <w:rPr>
          <w:rFonts w:ascii="Book Antiqua" w:hAnsi="Book Antiqua"/>
          <w:b/>
          <w:bCs/>
          <w:sz w:val="28"/>
          <w:szCs w:val="28"/>
        </w:rPr>
        <w:t>Abstract</w:t>
      </w:r>
      <w:r w:rsidR="009B7C2C">
        <w:rPr>
          <w:rFonts w:ascii="Book Antiqua" w:hAnsi="Book Antiqua"/>
          <w:sz w:val="28"/>
          <w:szCs w:val="28"/>
        </w:rPr>
        <w:t xml:space="preserve"> </w:t>
      </w:r>
      <w:r w:rsidR="0061593B">
        <w:rPr>
          <w:rFonts w:ascii="Book Antiqua" w:hAnsi="Book Antiqua"/>
          <w:sz w:val="28"/>
          <w:szCs w:val="28"/>
        </w:rPr>
        <w:br/>
      </w:r>
      <w:r w:rsidR="0061593B" w:rsidRPr="00AE7D7D">
        <w:rPr>
          <w:rFonts w:ascii="Book Antiqua" w:hAnsi="Book Antiqua" w:cs="Times New Roman"/>
          <w:bCs/>
        </w:rPr>
        <w:t xml:space="preserve">This study aimed to determine the Analysis of Parenting Patterns as an Effort to Increase Adversity and Learning Motivation of Students at </w:t>
      </w:r>
      <w:r w:rsidR="003A3C48" w:rsidRPr="00AE7D7D">
        <w:rPr>
          <w:rFonts w:ascii="Book Antiqua" w:eastAsia="Arial Unicode MS" w:hAnsi="Book Antiqua" w:cs="Times New Roman"/>
        </w:rPr>
        <w:t>T</w:t>
      </w:r>
      <w:r w:rsidR="003A3C48" w:rsidRPr="00AE7D7D">
        <w:rPr>
          <w:rFonts w:ascii="Book Antiqua" w:eastAsia="Arial Unicode MS" w:hAnsi="Book Antiqua" w:cs="Times New Roman"/>
          <w:lang w:val="en-US"/>
        </w:rPr>
        <w:t>K</w:t>
      </w:r>
      <w:r w:rsidR="003A3C48" w:rsidRPr="00AE7D7D">
        <w:rPr>
          <w:rFonts w:ascii="Book Antiqua" w:eastAsia="Arial Unicode MS" w:hAnsi="Book Antiqua" w:cs="Times New Roman"/>
        </w:rPr>
        <w:t xml:space="preserve"> </w:t>
      </w:r>
      <w:proofErr w:type="spellStart"/>
      <w:r w:rsidR="003A3C48" w:rsidRPr="00AE7D7D">
        <w:rPr>
          <w:rFonts w:ascii="Book Antiqua" w:eastAsia="Arial Unicode MS" w:hAnsi="Book Antiqua" w:cs="Times New Roman"/>
          <w:lang w:val="en-US"/>
        </w:rPr>
        <w:t>Aisyiyah</w:t>
      </w:r>
      <w:proofErr w:type="spellEnd"/>
      <w:r w:rsidR="003A3C48" w:rsidRPr="00AE7D7D">
        <w:rPr>
          <w:rFonts w:ascii="Book Antiqua" w:eastAsia="Arial Unicode MS" w:hAnsi="Book Antiqua" w:cs="Times New Roman"/>
          <w:lang w:val="en-US"/>
        </w:rPr>
        <w:t xml:space="preserve"> 5</w:t>
      </w:r>
      <w:r w:rsidR="00EF4E84">
        <w:rPr>
          <w:rFonts w:ascii="Book Antiqua" w:eastAsia="Arial Unicode MS" w:hAnsi="Book Antiqua" w:cs="Times New Roman"/>
          <w:lang w:val="en-US"/>
        </w:rPr>
        <w:t>8</w:t>
      </w:r>
      <w:r w:rsidR="003A3C48" w:rsidRPr="00AE7D7D">
        <w:rPr>
          <w:rFonts w:ascii="Book Antiqua" w:eastAsia="Arial Unicode MS" w:hAnsi="Book Antiqua" w:cs="Times New Roman"/>
          <w:lang w:val="en-US"/>
        </w:rPr>
        <w:t xml:space="preserve"> Surabaya</w:t>
      </w:r>
      <w:r w:rsidR="0061593B" w:rsidRPr="00AE7D7D">
        <w:rPr>
          <w:rFonts w:ascii="Book Antiqua" w:hAnsi="Book Antiqua" w:cs="Times New Roman"/>
          <w:bCs/>
        </w:rPr>
        <w:t xml:space="preserve">. Parenting patterns can be part of efforts to increase Adversity Quotient and student learning motivation. The research method used in this research is descriptive qualitative with data collection techniques by observation, interviews, documentation, and audio-visual. Data analysis was used descriptively, such as data reduction, display, and verification. Then the validity of the data is carried out with the Triangulation technique. The results obtained in this study are that parenting patterns are divided into three: authoritarian Parenting, permissive Parenting, and democratic Parenting. Good Parenting impacts increasing the Adversity Quotient and student learning motivation and student learning motivation at </w:t>
      </w:r>
      <w:r w:rsidR="003A3C48" w:rsidRPr="00AE7D7D">
        <w:rPr>
          <w:rFonts w:ascii="Book Antiqua" w:eastAsia="Arial Unicode MS" w:hAnsi="Book Antiqua" w:cs="Times New Roman"/>
        </w:rPr>
        <w:t>T</w:t>
      </w:r>
      <w:r w:rsidR="003A3C48" w:rsidRPr="00AE7D7D">
        <w:rPr>
          <w:rFonts w:ascii="Book Antiqua" w:eastAsia="Arial Unicode MS" w:hAnsi="Book Antiqua" w:cs="Times New Roman"/>
          <w:lang w:val="en-US"/>
        </w:rPr>
        <w:t>K</w:t>
      </w:r>
      <w:r w:rsidR="003A3C48" w:rsidRPr="00AE7D7D">
        <w:rPr>
          <w:rFonts w:ascii="Book Antiqua" w:eastAsia="Arial Unicode MS" w:hAnsi="Book Antiqua" w:cs="Times New Roman"/>
        </w:rPr>
        <w:t xml:space="preserve"> </w:t>
      </w:r>
      <w:proofErr w:type="spellStart"/>
      <w:r w:rsidR="003A3C48" w:rsidRPr="00AE7D7D">
        <w:rPr>
          <w:rFonts w:ascii="Book Antiqua" w:eastAsia="Arial Unicode MS" w:hAnsi="Book Antiqua" w:cs="Times New Roman"/>
          <w:lang w:val="en-US"/>
        </w:rPr>
        <w:t>Aisyiyah</w:t>
      </w:r>
      <w:proofErr w:type="spellEnd"/>
      <w:r w:rsidR="003A3C48" w:rsidRPr="00AE7D7D">
        <w:rPr>
          <w:rFonts w:ascii="Book Antiqua" w:eastAsia="Arial Unicode MS" w:hAnsi="Book Antiqua" w:cs="Times New Roman"/>
          <w:lang w:val="en-US"/>
        </w:rPr>
        <w:t xml:space="preserve"> 5</w:t>
      </w:r>
      <w:r w:rsidR="00EF4E84">
        <w:rPr>
          <w:rFonts w:ascii="Book Antiqua" w:eastAsia="Arial Unicode MS" w:hAnsi="Book Antiqua" w:cs="Times New Roman"/>
          <w:lang w:val="en-US"/>
        </w:rPr>
        <w:t>8</w:t>
      </w:r>
      <w:r w:rsidR="003A3C48" w:rsidRPr="00AE7D7D">
        <w:rPr>
          <w:rFonts w:ascii="Book Antiqua" w:eastAsia="Arial Unicode MS" w:hAnsi="Book Antiqua" w:cs="Times New Roman"/>
          <w:lang w:val="en-US"/>
        </w:rPr>
        <w:t xml:space="preserve"> Surabaya</w:t>
      </w:r>
      <w:r w:rsidR="0061593B" w:rsidRPr="00AE7D7D">
        <w:rPr>
          <w:rFonts w:ascii="Book Antiqua" w:hAnsi="Book Antiqua" w:cs="Times New Roman"/>
          <w:bCs/>
        </w:rPr>
        <w:t>. The ability of children to face difficulties will be a solution in their lives. Thus, learning difficulties or failures are not to be avoided but met and turned into a solution in a child's life that can improve learning achievement.</w:t>
      </w:r>
    </w:p>
    <w:p w14:paraId="4A10A91C" w14:textId="7AA9FA6F" w:rsidR="009C4C44" w:rsidRPr="00EF4E84" w:rsidRDefault="0061593B" w:rsidP="003A3C48">
      <w:pPr>
        <w:spacing w:after="0"/>
        <w:jc w:val="both"/>
        <w:rPr>
          <w:rFonts w:ascii="Book Antiqua" w:hAnsi="Book Antiqua" w:cs="Times New Roman"/>
          <w:lang w:val="en-US"/>
        </w:rPr>
      </w:pPr>
      <w:r w:rsidRPr="00AE7D7D">
        <w:rPr>
          <w:rFonts w:ascii="Book Antiqua" w:hAnsi="Book Antiqua" w:cs="Times New Roman"/>
          <w:b/>
          <w:bCs/>
        </w:rPr>
        <w:t>Keywords</w:t>
      </w:r>
      <w:r w:rsidRPr="00AE7D7D">
        <w:rPr>
          <w:rFonts w:ascii="Book Antiqua" w:hAnsi="Book Antiqua" w:cs="Times New Roman"/>
          <w:bCs/>
        </w:rPr>
        <w:t xml:space="preserve">: </w:t>
      </w:r>
      <w:r w:rsidRPr="00AE7D7D">
        <w:rPr>
          <w:rFonts w:ascii="Book Antiqua" w:hAnsi="Book Antiqua" w:cs="Times New Roman"/>
          <w:bCs/>
          <w:i/>
          <w:iCs/>
        </w:rPr>
        <w:t>Parenting, parents, adversity quotient, learning motivation</w:t>
      </w:r>
      <w:r w:rsidR="00EF4E84">
        <w:rPr>
          <w:rFonts w:ascii="Book Antiqua" w:hAnsi="Book Antiqua" w:cs="Times New Roman"/>
          <w:lang w:val="en-US"/>
        </w:rPr>
        <w:t>.</w:t>
      </w:r>
    </w:p>
    <w:p w14:paraId="7C3464CB" w14:textId="7B02DDBC" w:rsidR="00272DF7" w:rsidRPr="00AE7D7D" w:rsidRDefault="00272DF7" w:rsidP="006A1955">
      <w:pPr>
        <w:pBdr>
          <w:bottom w:val="single" w:sz="6" w:space="1" w:color="auto"/>
        </w:pBdr>
        <w:adjustRightInd w:val="0"/>
        <w:spacing w:after="0" w:line="240" w:lineRule="auto"/>
        <w:jc w:val="right"/>
        <w:rPr>
          <w:rFonts w:ascii="Book Antiqua" w:hAnsi="Book Antiqua"/>
          <w:color w:val="000000"/>
        </w:rPr>
      </w:pPr>
      <w:r w:rsidRPr="00AE7D7D">
        <w:rPr>
          <w:rFonts w:ascii="Book Antiqua" w:hAnsi="Book Antiqua"/>
          <w:color w:val="000000"/>
        </w:rPr>
        <w:t xml:space="preserve">Copyright (c) </w:t>
      </w:r>
      <w:r w:rsidR="008F2419" w:rsidRPr="00AE7D7D">
        <w:rPr>
          <w:rFonts w:ascii="Book Antiqua" w:hAnsi="Book Antiqua"/>
          <w:color w:val="000000"/>
        </w:rPr>
        <w:t>202</w:t>
      </w:r>
      <w:r w:rsidR="00607BCC" w:rsidRPr="00AE7D7D">
        <w:rPr>
          <w:rFonts w:ascii="Book Antiqua" w:hAnsi="Book Antiqua"/>
          <w:color w:val="000000"/>
        </w:rPr>
        <w:t>2</w:t>
      </w:r>
      <w:r w:rsidRPr="00AE7D7D">
        <w:rPr>
          <w:rFonts w:ascii="Book Antiqua" w:hAnsi="Book Antiqua"/>
          <w:color w:val="000000"/>
        </w:rPr>
        <w:t xml:space="preserve"> Nama Penulis</w:t>
      </w:r>
      <w:r w:rsidR="004B2409" w:rsidRPr="00AE7D7D">
        <w:rPr>
          <w:rFonts w:ascii="Book Antiqua" w:hAnsi="Book Antiqua"/>
          <w:color w:val="000000"/>
        </w:rPr>
        <w:t>1,2 dst.</w:t>
      </w:r>
    </w:p>
    <w:p w14:paraId="010BC6D9" w14:textId="5F4D8522" w:rsidR="00272DF7" w:rsidRPr="00AE7D7D" w:rsidRDefault="00272DF7" w:rsidP="006A1955">
      <w:pPr>
        <w:tabs>
          <w:tab w:val="left" w:pos="6237"/>
        </w:tabs>
        <w:adjustRightInd w:val="0"/>
        <w:spacing w:after="0" w:line="240" w:lineRule="auto"/>
        <w:rPr>
          <w:rFonts w:ascii="Book Antiqua" w:hAnsi="Book Antiqua"/>
          <w:color w:val="000000"/>
        </w:rPr>
      </w:pPr>
      <w:r w:rsidRPr="00AE7D7D">
        <w:rPr>
          <w:rFonts w:ascii="Book Antiqua" w:hAnsi="Book Antiqua"/>
          <w:color w:val="000000"/>
        </w:rPr>
        <w:sym w:font="Wingdings" w:char="F02A"/>
      </w:r>
      <w:r w:rsidRPr="00AE7D7D">
        <w:rPr>
          <w:rFonts w:ascii="Book Antiqua" w:hAnsi="Book Antiqua"/>
          <w:color w:val="000000"/>
        </w:rPr>
        <w:t xml:space="preserve"> </w:t>
      </w:r>
      <w:r w:rsidRPr="00AE7D7D">
        <w:rPr>
          <w:rFonts w:ascii="Book Antiqua" w:hAnsi="Book Antiqua"/>
        </w:rPr>
        <w:t>Corresponding author :</w:t>
      </w:r>
      <w:r w:rsidR="00AE7D7D" w:rsidRPr="00AE7D7D">
        <w:rPr>
          <w:rFonts w:ascii="Book Antiqua" w:hAnsi="Book Antiqua"/>
          <w:lang w:val="en-US"/>
        </w:rPr>
        <w:t xml:space="preserve"> </w:t>
      </w:r>
      <w:proofErr w:type="spellStart"/>
      <w:r w:rsidR="00AE7D7D" w:rsidRPr="00AE7D7D">
        <w:rPr>
          <w:rFonts w:ascii="Book Antiqua" w:hAnsi="Book Antiqua"/>
          <w:lang w:val="en-US"/>
        </w:rPr>
        <w:t>Ratno</w:t>
      </w:r>
      <w:proofErr w:type="spellEnd"/>
      <w:r w:rsidR="00AE7D7D" w:rsidRPr="00AE7D7D">
        <w:rPr>
          <w:rFonts w:ascii="Book Antiqua" w:hAnsi="Book Antiqua"/>
          <w:lang w:val="en-US"/>
        </w:rPr>
        <w:t xml:space="preserve"> Abidin</w:t>
      </w:r>
      <w:r w:rsidRPr="00AE7D7D">
        <w:rPr>
          <w:rFonts w:ascii="Book Antiqua" w:hAnsi="Book Antiqua"/>
        </w:rPr>
        <w:tab/>
      </w:r>
    </w:p>
    <w:p w14:paraId="3BD81320" w14:textId="24B3D957" w:rsidR="00272DF7" w:rsidRPr="00AE7D7D" w:rsidRDefault="00272DF7" w:rsidP="006A1955">
      <w:pPr>
        <w:tabs>
          <w:tab w:val="left" w:pos="6237"/>
        </w:tabs>
        <w:adjustRightInd w:val="0"/>
        <w:spacing w:after="0" w:line="240" w:lineRule="auto"/>
        <w:rPr>
          <w:rFonts w:ascii="Book Antiqua" w:hAnsi="Book Antiqua"/>
          <w:color w:val="000000"/>
          <w:lang w:val="en-US"/>
        </w:rPr>
      </w:pPr>
      <w:r w:rsidRPr="00AE7D7D">
        <w:rPr>
          <w:rFonts w:ascii="Book Antiqua" w:hAnsi="Book Antiqua"/>
        </w:rPr>
        <w:lastRenderedPageBreak/>
        <w:t xml:space="preserve">Email Address : </w:t>
      </w:r>
      <w:r w:rsidR="00AE7D7D" w:rsidRPr="00AE7D7D">
        <w:rPr>
          <w:rFonts w:ascii="Book Antiqua" w:hAnsi="Book Antiqua"/>
          <w:lang w:val="en-US"/>
        </w:rPr>
        <w:t>ratnoabidin@um-surabaya.ac.id</w:t>
      </w:r>
    </w:p>
    <w:p w14:paraId="6B62977A" w14:textId="77777777" w:rsidR="00272DF7" w:rsidRPr="00AE7D7D" w:rsidRDefault="00272DF7" w:rsidP="006A1955">
      <w:pPr>
        <w:tabs>
          <w:tab w:val="left" w:pos="6237"/>
        </w:tabs>
        <w:adjustRightInd w:val="0"/>
        <w:spacing w:after="0" w:line="240" w:lineRule="auto"/>
        <w:rPr>
          <w:rFonts w:ascii="Book Antiqua" w:hAnsi="Book Antiqua"/>
        </w:rPr>
      </w:pPr>
      <w:r w:rsidRPr="00AE7D7D">
        <w:rPr>
          <w:rFonts w:ascii="Book Antiqua" w:hAnsi="Book Antiqua"/>
          <w:color w:val="000000"/>
        </w:rPr>
        <w:t>Received tanggal bulan tahun, Accepted tanggal bulan tahun, Published tanggal bulan tahun</w:t>
      </w:r>
    </w:p>
    <w:p w14:paraId="6CD8EF2D" w14:textId="22A59B73" w:rsidR="009B7C2C" w:rsidRPr="00AE7D7D" w:rsidRDefault="00A119AF" w:rsidP="009B7C2C">
      <w:pPr>
        <w:pStyle w:val="BodyText"/>
        <w:spacing w:after="0" w:line="240" w:lineRule="auto"/>
        <w:jc w:val="both"/>
        <w:rPr>
          <w:rFonts w:ascii="Book Antiqua" w:hAnsi="Book Antiqua" w:cs="Times New Roman"/>
          <w:b/>
        </w:rPr>
      </w:pPr>
      <w:r w:rsidRPr="00AE7D7D">
        <w:rPr>
          <w:rFonts w:ascii="Book Antiqua" w:hAnsi="Book Antiqua"/>
          <w:b/>
        </w:rPr>
        <w:t>Pendahuluan</w:t>
      </w:r>
      <w:r w:rsidR="006F14D5" w:rsidRPr="00AE7D7D">
        <w:rPr>
          <w:rFonts w:ascii="Book Antiqua" w:hAnsi="Book Antiqua"/>
          <w:b/>
        </w:rPr>
        <w:t xml:space="preserve"> </w:t>
      </w:r>
    </w:p>
    <w:p w14:paraId="2F18CBBD" w14:textId="77777777" w:rsidR="00AE7D7D" w:rsidRPr="00AE7D7D" w:rsidRDefault="00AE7D7D" w:rsidP="00AE7D7D">
      <w:pPr>
        <w:spacing w:after="0"/>
        <w:ind w:firstLine="709"/>
        <w:jc w:val="both"/>
        <w:rPr>
          <w:rFonts w:ascii="Book Antiqua" w:hAnsi="Book Antiqua" w:cs="Times New Roman"/>
        </w:rPr>
      </w:pPr>
      <w:r w:rsidRPr="00AE7D7D">
        <w:rPr>
          <w:rFonts w:ascii="Book Antiqua" w:hAnsi="Book Antiqua" w:cs="Times New Roman"/>
        </w:rPr>
        <w:t xml:space="preserve">Keluarga merupakan wadah pendidikan yang sangat besar pengaruhnya dalam perkembangan sosial anak, oleh karena itu pendidikan anak tidak dapat dipisahkan dari keluarganya karena keluarga merupakan tempat pertama kali anak menyatakan diri sebagai mahkluk social dalam berinteraksi dengan kelompoknya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{"citationItems":[{"id":"ITEM-1","itemData":{"ISBN":"9789793541501","author":[{"dropping-particle":"","family":"Kasus","given":"Studi","non-dropping-particle":"","parse-names":false,"suffix":""},{"dropping-particle":"","family":"Cibodas","given":"Al-muhajirin Desa","non-dropping-particle":"","parse-names":false,"suffix":""},{"dropping-particle":"","family":"Cianjur","given":"Pacet","non-dropping-particle":"","parse-names":false,"suffix":""},{"dropping-particle":"","family":"Harahap","given":"Tapiana Sari","non-dropping-particle":"","parse-names":false,"suffix":""},{"dropping-particle":"","family":"Cimahi-","given":"Stikes A Yani","non-dropping-particle":"","parse-names":false,"suffix":""}],"id":"ITEM-1","issued":{"date-parts":[["2015"]]},"page":"197-201","title":"Pengaruh Pola Asuh Orang Tua terhadap Perkembangan Anak Usia Dini","type":"article-journal"},"uris":["http://www.mendeley.com/documents/?uuid=3c0d9ff5-0fb7-4df3-b0a3-a6eac6a9ef25"]}],"mendeley":{"formattedCitation":"(Kasus et al., 2015)","plainTextFormattedCitation":"(Kasus et al., 2015)","previouslyFormattedCitation":"(Kasus et al., 2015)"},"properties":{"noteIndex":0},"schema":"https://github.com/citation-style-language/schema/raw/master/csl-citation.json"}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(Kasus et al., 2015)</w:t>
      </w:r>
      <w:r w:rsidRPr="00AE7D7D">
        <w:rPr>
          <w:rFonts w:ascii="Book Antiqua" w:hAnsi="Book Antiqua" w:cs="Times New Roman"/>
        </w:rPr>
        <w:fldChar w:fldCharType="end"/>
      </w:r>
      <w:r w:rsidRPr="00AE7D7D">
        <w:rPr>
          <w:rFonts w:ascii="Book Antiqua" w:hAnsi="Book Antiqua" w:cs="Times New Roman"/>
        </w:rPr>
        <w:t xml:space="preserve">. Anak adalah peniru yang baik, mereka akan mereplikasi apapun yang mereka lihat, dengar, rasakan, dan alami. Jika orang tua dan guru memperlakukan mereka dengan keras, maka anak akan tercetak berkepribadian keras dan kemungkinan besar mereka akan mempraktikannya dalam situasi bullying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{"citationItems":[{"id":"ITEM-1","itemData":{"author":[{"dropping-particle":"","family":"Sunarty","given":"Kustiah","non-dropping-particle":"","parse-names":false,"suffix":""}],"id":"ITEM-1","issue":"2","issued":{"date-parts":[["2016"]]},"page":"152-160","title":"Hubungan pola asuh orangtua dan kemandirian anak","type":"article-journal","volume":"2"},"uris":["http://www.mendeley.com/documents/?uuid=c74950bd-5f3c-4178-93b0-41c0ae12f038"]}],"mendeley":{"formattedCitation":"(Sunarty, 2016)","plainTextFormattedCitation":"(Sunarty, 2016)","previouslyFormattedCitation":"(Sunarty, 2016)"},"properties":{"noteIndex":0},"schema":"https://github.com/citation-style-language/schema/raw/master/csl-citation.json"}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(Sunarty, 2016)</w:t>
      </w:r>
      <w:r w:rsidRPr="00AE7D7D">
        <w:rPr>
          <w:rFonts w:ascii="Book Antiqua" w:hAnsi="Book Antiqua" w:cs="Times New Roman"/>
        </w:rPr>
        <w:fldChar w:fldCharType="end"/>
      </w:r>
      <w:r w:rsidRPr="00AE7D7D">
        <w:rPr>
          <w:rFonts w:ascii="Book Antiqua" w:hAnsi="Book Antiqua" w:cs="Times New Roman"/>
        </w:rPr>
        <w:t xml:space="preserve">. Anak merupakan pribadi yang unik, dalam perkembangannya memerlukan perhatian yang khusus untuk optimalisasi serta tumbuh kembang anak. Menurut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{"citationItems":[{"id":"ITEM-1","itemData":{"author":[{"dropping-particle":"","family":"Asri","given":"I G A A Sri","non-dropping-particle":"","parse-names":false,"suffix":""}],"id":"ITEM-1","issue":"1","issued":{"date-parts":[["2018"]]},"page":"1-9","title":"Hubungan Pola Asuh Terhadap Perkembangan Anak Usia Dini","type":"article-journal","volume":"2"},"uris":["http://www.mendeley.com/documents/?uuid=49230e80-0b4d-491c-b2d4-3e1fa0cf9cf1"]}],"mendeley":{"formattedCitation":"(Asri, 2018)","plainTextFormattedCitation":"(Asri, 2018)","previouslyFormattedCitation":"(Asri, 2018)"},"properties":{"noteIndex":0},"schema":"https://github.com/citation-style-language/schema/raw/master/csl-citation.json"}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(Asri, 2018)</w:t>
      </w:r>
      <w:r w:rsidRPr="00AE7D7D">
        <w:rPr>
          <w:rFonts w:ascii="Book Antiqua" w:hAnsi="Book Antiqua" w:cs="Times New Roman"/>
        </w:rPr>
        <w:fldChar w:fldCharType="end"/>
      </w:r>
      <w:r w:rsidRPr="00AE7D7D">
        <w:rPr>
          <w:rFonts w:ascii="Book Antiqua" w:hAnsi="Book Antiqua" w:cs="Times New Roman"/>
        </w:rPr>
        <w:t xml:space="preserve"> Anak merupakan individu yang sedang berkembang di mana mereka sangat memerlukan perhatian khusus dari orang tuanya. Orang tua memiliki cara dan pola tersendiri dalam mengasuh dan membimbing anak. Setiap keluarga yang satu dan keluarga yang lain memiliki cara dan pola yang berbeda.</w:t>
      </w:r>
    </w:p>
    <w:p w14:paraId="654CED85" w14:textId="77777777" w:rsidR="00AE7D7D" w:rsidRPr="00AE7D7D" w:rsidRDefault="00AE7D7D" w:rsidP="00AE7D7D">
      <w:pPr>
        <w:spacing w:after="0"/>
        <w:ind w:firstLine="709"/>
        <w:jc w:val="both"/>
        <w:rPr>
          <w:rFonts w:ascii="Book Antiqua" w:hAnsi="Book Antiqua" w:cs="Times New Roman"/>
        </w:rPr>
      </w:pPr>
      <w:r w:rsidRPr="00AE7D7D">
        <w:rPr>
          <w:rFonts w:ascii="Book Antiqua" w:hAnsi="Book Antiqua" w:cs="Times New Roman"/>
        </w:rPr>
        <w:t xml:space="preserve">Pola asuh salah satu faktor yang mempengaruhi pertumbuhan dan perkembangan anak. Perkembangan anak sangat dipengaruhi oleh agen sosialnya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{"citationItems":[{"id":"ITEM-1","itemData":{"DOI":"10.1016/j.ejtd.2018.12.001","ISSN":"24687499","abstract":"Objective The study aimed to examine the relationship between difficulties in emotion regulation, different types of psychopathology and negative life experiences in a sample of young women. A question was asked about the co-occurrence of different types of adversities and about the psychopathology profile depending on the type of adversities. Method Five hundred and two women aged 18–25years were examined with use of questionnaires measuring difficulties in emotion regulation, symptoms of psychopathology (including problem drinking) and different types of adverse experiences (including interpersonal childhood adversities). Results Interpersonal childhood adversities, but not traumatic events that took place also after 15years of age, turned out to be a risk factor for difficulties in emotion regulation. Lifetime traumatic events independently predicted symptoms of general psychopathology and posttraumatic symptoms. Emotion regulation deficits turned out to be the main mediator between childhood adversities and various symptoms of psychopathology, including problem drinking. Results of cluster analysis along with discriminant function analysis revealed that childhood sexual trauma was the most differentiating adversity in terms of severity of posttraumatic symptoms and problem drinking. Conclusion The results of this study indicate that symptom profiles depend on the type of adversities experienced in childhood. Of the various adversities examined, sexual abuse is associated with the most severe symptomatology. However, regardless of the type of childhood adversities, the risk of psychopathology, including problem drinking, is mainly increased by difficulties in emotion regulation. These problems are the main, transdiagnostic risk factor underlying psychopathology reported by young women.","author":[{"dropping-particle":"","family":"Dragan","given":"M.","non-dropping-particle":"","parse-names":false,"suffix":""}],"container-title":"European Journal of Trauma &amp; Dissociation","id":"ITEM-1","issue":"1","issued":{"date-parts":[["2020"]]},"page":"100091","publisher":"Elsevier Masson SAS","title":"Adverse experiences, emotional regulation difficulties and psychopathology in a sample of young women: Model of associations and results of cluster and discriminant function analysis","type":"article-journal","volume":"4"},"uris":["http://www.mendeley.com/documents/?uuid=708acef2-be72-4134-b167-9f716e3a17f1"]}],"mendeley":{"formattedCitation":"(Dragan, 2020)","plainTextFormattedCitation":"(Dragan, 2020)","previouslyFormattedCitation":"(Dragan, 2020)"},"properties":{"noteIndex":0},"schema":"https://github.com/citation-style-language/schema/raw/master/csl-citation.json"}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(Dragan, 2020)</w:t>
      </w:r>
      <w:r w:rsidRPr="00AE7D7D">
        <w:rPr>
          <w:rFonts w:ascii="Book Antiqua" w:hAnsi="Book Antiqua" w:cs="Times New Roman"/>
        </w:rPr>
        <w:fldChar w:fldCharType="end"/>
      </w:r>
      <w:r w:rsidRPr="00AE7D7D">
        <w:rPr>
          <w:rFonts w:ascii="Book Antiqua" w:hAnsi="Book Antiqua" w:cs="Times New Roman"/>
        </w:rPr>
        <w:t xml:space="preserve">. Hal yang paling utama dalam proses perkembangan sosial adalah keluarga yaitu orang tua dan saudara kandung. Kualitas hubungan orang tua dengan anak sangatlah penting dan berpengaruh terhadap perkembangan anak seperti kesehatan mental, gaya hidup, konsumsi rokok dan alkohol, kelahiran, cedera, kesehatan fisik, keterampilan sosial, dan pencapaian hidup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{"citationItems":[{"id":"ITEM-1","itemData":{"DOI":"10.1016/j.chiabu.2020.104688","ISSN":"18737757","PMID":"32854056","abstract":"Background: Child protective services (CPS) case records contain a vast amount of narrative information that is underutilized for estimating risk, conceptualizing family needs, and planning for services. Objective: The current study applied a novel method for quantifying family-level severity of maltreatment and non-maltreatment-related adversity types to narrative information reflecting a family's full CPS history. Participants and setting: Cases were randomly sampled (N = 100) from two regions of Connecticut that were referred over a specified 6-month period. Methods: De-identified data were extracted through comprehensive chart review of electronic and paper case records. The Yale-Vermont Adversity in Childhood Scale (Y-VACS; Holbrook et al., 2015) was used to quantify adversity severity across a range of intrafamilial and extrafamilial experiences. Results: Several family-level adversity severity ratings were associated with administrative data on allegations and investigative outcomes. Poly-victimization (β =.47, p &lt;.001) and poly-deprivation (β =.25, p =.005) significantly predicted total allegation types and total substantiation types (β =.30, p =.002; β =.26, p =.008, respectively) across the case history. Poly-victimization significantly predicted the presence of a new allegation within 12 months of the index report, OR = 1.72, SE =.25, p =.027. Conclusions: Findings support the feasibility of a novel method that uses narrative case record information to quantify severity of maltreatment and non-maltreatment-related adversity types, as well as cumulative measures of threat- and deprivation-based adversities at the family level. Implications for utilizing case record data to inform CPS intervention are discussed.","author":[{"dropping-particle":"","family":"O'Dea","given":"Nicole","non-dropping-particle":"","parse-names":false,"suffix":""},{"dropping-particle":"","family":"Clough","given":"Meghan","non-dropping-particle":"","parse-names":false,"suffix":""},{"dropping-particle":"","family":"Beebe","given":"Rebecca","non-dropping-particle":"","parse-names":false,"suffix":""},{"dropping-particle":"","family":"DiVietro","given":"Susan","non-dropping-particle":"","parse-names":false,"suffix":""},{"dropping-particle":"","family":"Lapidus","given":"Garry","non-dropping-particle":"","parse-names":false,"suffix":""},{"dropping-particle":"","family":"Grasso","given":"Damion J.","non-dropping-particle":"","parse-names":false,"suffix":""}],"container-title":"Child Abuse and Neglect","id":"ITEM-1","issue":"December 2019","issued":{"date-parts":[["2020"]]},"page":"104688","publisher":"Elsevier Ltd","title":"Using Child Protective Services Case Record Data to Quantify Family-Level Severity of Adversity Types, Poly-victimization, and Poly-deprivation","type":"article-journal","volume":"108"},"uris":["http://www.mendeley.com/documents/?uuid=89f5f1a1-4cbb-4b75-b481-c998d2367593"]}],"mendeley":{"formattedCitation":"(O’Dea et al., 2020)","plainTextFormattedCitation":"(O’Dea et al., 2020)","previouslyFormattedCitation":"(O’Dea et al., 2020)"},"properties":{"noteIndex":0},"schema":"https://github.com/citation-style-language/schema/raw/master/csl-citation.json"}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(O’Dea et al., 2020)</w:t>
      </w:r>
      <w:r w:rsidRPr="00AE7D7D">
        <w:rPr>
          <w:rFonts w:ascii="Book Antiqua" w:hAnsi="Book Antiqua" w:cs="Times New Roman"/>
        </w:rPr>
        <w:fldChar w:fldCharType="end"/>
      </w:r>
      <w:r w:rsidRPr="00AE7D7D">
        <w:rPr>
          <w:rFonts w:ascii="Book Antiqua" w:hAnsi="Book Antiqua" w:cs="Times New Roman"/>
        </w:rPr>
        <w:t>. Kualitas hubungan antara anak dengan orang tua tercermin lewat pola asuh. Pola asuh merupakan interaksi antara orang tua dengan anak yang mendidik, membimbing, dan mendisiplinkan anak menuju kedewasaan berdasarkan norma-norma yang ada di masyarakat. Hal ini berarti interaksi antara orang tua atau dengan lingkungan sekitarya mampu menstimulisasi perkembangan anak. Interaksi yang positif antara orang tua dengan anak akan membangun sebuah persepsi, mampu membimbing serta mengendalikan perilaku-perilaku negatif yang muncul pada anak serta mampu meningkatkan keterampilan yang ada pada anak</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{"citationItems":[{"id":"ITEM-1","itemData":{"author":[{"dropping-particle":"","family":"Gunawan","given":"Harry","non-dropping-particle":"","parse-names":false,"suffix":""}],"id":"ITEM-1","issued":{"date-parts":[["2017"]]},"page":"1-15","title":"KELOMPOK B DI KELOMPOK BERMAIN DHARMA MULYA TENGGARONG SEBERANG","type":"article-journal"},"uris":["http://www.mendeley.com/documents/?uuid=d23281b5-ffae-4a44-9a2f-36b45c198fe3"]}],"mendeley":{"formattedCitation":"(Gunawan, 2017)","plainTextFormattedCitation":"(Gunawan, 2017)","previouslyFormattedCitation":"(Gunawan, 2017)"},"properties":{"noteIndex":0},"schema":"https://github.com/citation-style-language/schema/raw/master/csl-citation.json"}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(Gunawan, 2017)</w:t>
      </w:r>
      <w:r w:rsidRPr="00AE7D7D">
        <w:rPr>
          <w:rFonts w:ascii="Book Antiqua" w:hAnsi="Book Antiqua" w:cs="Times New Roman"/>
        </w:rPr>
        <w:fldChar w:fldCharType="end"/>
      </w:r>
      <w:r w:rsidRPr="00AE7D7D">
        <w:rPr>
          <w:rFonts w:ascii="Book Antiqua" w:hAnsi="Book Antiqua" w:cs="Times New Roman"/>
        </w:rPr>
        <w:t>.</w:t>
      </w:r>
    </w:p>
    <w:p w14:paraId="5340FBAE" w14:textId="77777777" w:rsidR="00AE7D7D" w:rsidRPr="00AE7D7D" w:rsidRDefault="00AE7D7D" w:rsidP="00AE7D7D">
      <w:pPr>
        <w:spacing w:after="0"/>
        <w:ind w:firstLine="709"/>
        <w:jc w:val="both"/>
        <w:rPr>
          <w:rFonts w:ascii="Book Antiqua" w:hAnsi="Book Antiqua" w:cs="Times New Roman"/>
        </w:rPr>
      </w:pPr>
      <w:r w:rsidRPr="00AE7D7D">
        <w:rPr>
          <w:rFonts w:ascii="Book Antiqua" w:hAnsi="Book Antiqua" w:cs="Times New Roman"/>
        </w:rPr>
        <w:t xml:space="preserve">Pola asuh orang tua dibedakan menjadi tiga yaitu pola asuh otoriter, pola asuh permissif dan pola asuh demokratis. Pola asuh otoriter adalah orang tua yang mendidik anak dengan memperlihatkan ciri-ciri sebagai berikut: orang tua menerapkan peraturan yang ketat, tidak adanya kesempatan untuk mengemukakan pendapat, anak harus mematuhi segala peraturan yang dibuat oleh orang tua, berorientasi pada hukuman (fisik maupun verbal), dan orang tua jarang memberikan hadiah ataupun pujian. Pola asuh permissif memperlihatkan ciri-ciri sebagai berikut: orang tua cenderung memberikan kebebasan penuh pada anak tanpa ada batasan dan aturan dari orang tua, tidak adanya hadiah ataupun pujian meski anak berperilaku sosial baik, tidak adanya hukuman meski anak melanggar peraturan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{"citationItems":[{"id":"ITEM-1","itemData":{"DOI":"10.1016/j.mhp.2020.200193","ISSN":"22126570","abstract":"Background: Depression often emerges during early adolescence and is one of the most common mental health problems. The present study investigated the influence of parenting styles and parental depression on depressive symptoms during adolescence and young adulthood, using both a cross-sectional and a longitudinal approach. Methods: Data were obtained from the Survey of Adolescent Life in Västmanland Cohort study and comprised 1603 adolescents who completed questionnaires at two time points (ages 16–18 and ages 19–21). Results: In the cross-sectional approach, a positive parenting style (Warmth, Structure, Autonomy support) was associated with less depressive symptoms, and a negative parenting style (Rejection, Chaos, Coercion) and parental depression were associated with more depressive symptoms in 16–18-year-old adolescents. The effect of parental depression was stronger among adolescent females. In the longitudinal approach, a protective effect was found, where a positive parenting style at adolescent ages 16–18 was associated with less depressive symptoms at ages 19–21, even when controlling for initial depressive symptomatology. Conclusions: These findings may make an important contribution to treatment programmes and family-based prevention strategies related to adolescent depressive symptomatology, particularly regarding the potential long-term protective effects of positive parenting style in middle and late adolescence.","author":[{"dropping-particle":"","family":"Rebecka","given":"Keijser","non-dropping-particle":"","parse-names":false,"suffix":""},{"dropping-particle":"","family":"Susanne","given":"Olofsdotter","non-dropping-particle":"","parse-names":false,"suffix":""},{"dropping-particle":"","family":"Kent","given":"Nilsson W.","non-dropping-particle":"","parse-names":false,"suffix":""},{"dropping-particle":"","family":"Cecilia","given":"Åslund","non-dropping-particle":"","parse-names":false,"suffix":""}],"container-title":"Mental Health and Prevention","id":"ITEM-1","issue":"October","issued":{"date-parts":[["2020"]]},"page":"200193","publisher":"Elsevier GmbH","title":"The influence of parenting styles and parental depression on adolescent depressive symptoms: A cross-sectional and longitudinal approach","type":"article-journal","volume":"20"},"uris":["http://www.mendeley.com/documents/?uuid=f3e4e016-7d93-470b-857a-46b48c561df8"]}],"mendeley":{"formattedCitation":"(Rebecka et al., 2020)","plainTextFormattedCitation":"(Rebecka et al., 2020)","previouslyFormattedCitation":"(Rebecka et al., 2020)"},"properties":{"noteIndex":0},"schema":"https://github.com/citation-style-language/schema/raw/master/csl-citation.json"}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(Rebecka et al., 2020)</w:t>
      </w:r>
      <w:r w:rsidRPr="00AE7D7D">
        <w:rPr>
          <w:rFonts w:ascii="Book Antiqua" w:hAnsi="Book Antiqua" w:cs="Times New Roman"/>
        </w:rPr>
        <w:fldChar w:fldCharType="end"/>
      </w:r>
      <w:r w:rsidRPr="00AE7D7D">
        <w:rPr>
          <w:rFonts w:ascii="Book Antiqua" w:hAnsi="Book Antiqua" w:cs="Times New Roman"/>
        </w:rPr>
        <w:t xml:space="preserve">. Menurut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{"citationItems":[{"id":"ITEM-1","itemData":{"DOI":"10.1016/j.paid.2020.110246","ISSN":"01918869","abstract":"Narcissism in females is under-theorized in the literature due to a predominant focus on grandiose features indicative of the male gender. This study aimed to investigate recalled parenting styles in the development of grandiose and vulnerable narcissism to enhance theoretical knowledge regarding gender differences in the personality construct. Based on previous research, it was hypothesized that strict parenting by the father would predict grandiose narcissism in males, and cold parenting by the mother would predict vulnerable narcissism in females. Participants (N = 328; 176 females) recruited from the normal population completed scales for grandiose and vulnerable narcissism, and perceived parenting styles. Results showed that females scored significantly higher on vulnerable narcissism than males, but no gender differences were found for grandiose narcissism. Findings linked retrospective reports of paternal overprotectiveness as a significant positive predictor of both grandiose and vulnerable narcissism in males; for females, recollections of maternal warmth significantly negatively predicted unique variance in vulnerable narcissism. Findings suggest that the interplay between parental styles and parent gender may be associated with different manifestations of narcissism in males and females. The theoretical implications of these findings are discussed and suggestions for future research made.","author":[{"dropping-particle":"","family":"Valashjardi","given":"Ava","non-dropping-particle":"","parse-names":false,"suffix":""},{"dropping-particle":"","family":"MacLean","given":"Rory","non-dropping-particle":"","parse-names":false,"suffix":""},{"dropping-particle":"","family":"Charles","given":"Kathy","non-dropping-particle":"","parse-names":false,"suffix":""}],"container-title":"Personality and Individual Differences","id":"ITEM-1","issue":"July","issued":{"date-parts":[["2020"]]},"page":"110246","publisher":"Elsevier","title":"Recollections of parenting styles in the development of narcissism: The role of gender","type":"article-journal","volume":"167"},"uris":["http://www.mendeley.com/documents/?uuid=7ae8471f-26d5-487d-b23e-7987e86d428b"]}],"mendeley":{"formattedCitation":"(Valashjardi et al., 2020)","plainTextFormattedCitation":"(Valashjardi et al., 2020)","previouslyFormattedCitation":"(Valashjardi et al., 2020)"},"properties":{"noteIndex":0},"schema":"https://github.com/citation-style-language/schema/raw/master/csl-citation.json"}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(Valashjardi et al., 2020)</w:t>
      </w:r>
      <w:r w:rsidRPr="00AE7D7D">
        <w:rPr>
          <w:rFonts w:ascii="Book Antiqua" w:hAnsi="Book Antiqua" w:cs="Times New Roman"/>
        </w:rPr>
        <w:fldChar w:fldCharType="end"/>
      </w:r>
      <w:r w:rsidRPr="00AE7D7D">
        <w:rPr>
          <w:rFonts w:ascii="Book Antiqua" w:hAnsi="Book Antiqua" w:cs="Times New Roman"/>
        </w:rPr>
        <w:t xml:space="preserve"> menyatakan bahwa pola asuh orang tua yang otoriter yang selalu memberikan aturanaturan ketat terhadap anak, sering kali memaksa anak untuk berperilaku seperti dirinya dan selalu membatasi apapun yang dilakukan oleh anak sehingga anak akan mempunyai sifat ragu-ragu, tidak percaya diri, dan tidak sanggup mengambil keputusan sendiri.</w:t>
      </w:r>
    </w:p>
    <w:p w14:paraId="7F041F6B" w14:textId="5CE733D5" w:rsidR="00AE7D7D" w:rsidRPr="00AE7D7D" w:rsidRDefault="00AE7D7D" w:rsidP="00AE7D7D">
      <w:pPr>
        <w:spacing w:after="0"/>
        <w:ind w:firstLine="709"/>
        <w:jc w:val="both"/>
        <w:rPr>
          <w:rFonts w:ascii="Book Antiqua" w:hAnsi="Book Antiqua" w:cs="Times New Roman"/>
        </w:rPr>
      </w:pPr>
      <w:r w:rsidRPr="00AE7D7D">
        <w:rPr>
          <w:rFonts w:ascii="Book Antiqua" w:hAnsi="Book Antiqua" w:cs="Times New Roman"/>
        </w:rPr>
        <w:t xml:space="preserve">Aspek pengasuhan terdiri dari dua yakni responsif atau kehangatan dan tuntutan atau kontrol dari orang tua. Aspek tersebut memiliki fungsi dan tujuan yang berbeda namun juga </w:t>
      </w:r>
      <w:r w:rsidRPr="00AE7D7D">
        <w:rPr>
          <w:rFonts w:ascii="Book Antiqua" w:hAnsi="Book Antiqua" w:cs="Times New Roman"/>
        </w:rPr>
        <w:lastRenderedPageBreak/>
        <w:t xml:space="preserve">dapat diterapkan secara bersamaan untuk menunjang pada pengasuhan yang lebih optimal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{"citationItems":[{"id":"ITEM-1","itemData":{"DOI":"10.1016/j.tsc.2020.100709","ISSN":"18711871","abstract":"On a sample of 552 high school students, the present study investigated the relationships between perceived parenting dimensions, and children's creative abilities assessed by the Test for Creative Thinking-Drawing Production (TCT-DP) as well as their creative self-beliefs (i.e. creative self-efficacy and creative personal identity). Results indicated that the dimension of parental child acceptance and autonomy support were weakly but positively related to children's creative self-efficacy and creative personal identity. However, no statistically significant relationship was found between parental autonomy support and children's creative abilities. In this sense, this study provides preliminary evidence for the effect of parental style dimensions on children's creative self-beliefs. Implications and limitations of this study were discussed. Recommendations are also given to researchers for conducting further studies on the topic.","author":[{"dropping-particle":"","family":"Gralewski","given":"Jacek","non-dropping-particle":"","parse-names":false,"suffix":""},{"dropping-particle":"","family":"Jankowska","given":"Dorota Maria","non-dropping-particle":"","parse-names":false,"suffix":""}],"container-title":"Thinking Skills and Creativity","id":"ITEM-1","issue":"May","issued":{"date-parts":[["2020"]]},"page":"100709","publisher":"Elsevier Ltd","title":"Do parenting styles matter? Perceived dimensions of parenting styles, creative abilities and creative self-beliefs in adolescents","type":"article-journal","volume":"38"},"uris":["http://www.mendeley.com/documents/?uuid=ffa576c2-7715-43b0-a0cd-9384e9324e49"]}],"mendeley":{"formattedCitation":"(Gralewski &amp; Jankowska, 2020)","plainTextFormattedCitation":"(Gralewski &amp; Jankowska, 2020)","previouslyFormattedCitation":"(Gralewski &amp; Jankowska, 2020)"},"properties":{"noteIndex":0},"schema":"https://github.com/citation-style-language/schema/raw/master/csl-citation.json"}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(Gralewski &amp; Jankowska, 2020)</w:t>
      </w:r>
      <w:r w:rsidRPr="00AE7D7D">
        <w:rPr>
          <w:rFonts w:ascii="Book Antiqua" w:hAnsi="Book Antiqua" w:cs="Times New Roman"/>
        </w:rPr>
        <w:fldChar w:fldCharType="end"/>
      </w:r>
      <w:r w:rsidRPr="00AE7D7D">
        <w:rPr>
          <w:rFonts w:ascii="Book Antiqua" w:hAnsi="Book Antiqua" w:cs="Times New Roman"/>
        </w:rPr>
        <w:t xml:space="preserve">. Menurut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{"citationItems":[{"id":"ITEM-1","itemData":{"DOI":"10.1016/j.pedn.2020.10.026","ISSN":"08825963","abstract":"Objective: This study was conducted to examine the posttraumatic growth (PTG) of parents of children with autism spectrum disorder (ASD) and the association among family function, mental resilience and PTG. Design and methods: This descriptive cross-sectional study was conducted with 205 parents of children with ASD in the clinical department of a university-affiliated hospital in Guangzhou from January to October 2019. The Posttraumatic Growth Inventory, Family Assessment Device, and Connor-Davidson Resilience Scale were employed for data collection. Results: The mean PTG score of parents was 59.56±18.46; and 24.63%, 43.84%, and 32.51% of parents exhibited a high level, moderate level and low level, respectively, of PTG. The problem-solving dimension of family function (p = 0.005) and the strength dimension of mental resilience (p ≤0.001) were positively related to PTG. Conclusions: Parents of children with ASD experienced moderate PTG overall. The problem-solving dimension of family function and the strength dimension of mental resilience were significant predictors of PTG. Practical implications: Interventions to improve family function and the mental resilience of parents with ASD children could contribute to improving the PTG of parents.","author":[{"dropping-particle":"","family":"Qin","given":"Xiuqun","non-dropping-particle":"","parse-names":false,"suffix":""},{"dropping-particle":"","family":"Feng","given":"Yongshen","non-dropping-particle":"","parse-names":false,"suffix":""},{"dropping-particle":"","family":"Qu","given":"Fenglei","non-dropping-particle":"","parse-names":false,"suffix":""},{"dropping-particle":"","family":"Luo","given":"Yuanrong","non-dropping-particle":"","parse-names":false,"suffix":""},{"dropping-particle":"","family":"Chen","given":"Biyuan","non-dropping-particle":"","parse-names":false,"suffix":""},{"dropping-particle":"","family":"Chen","given":"Miaoying","non-dropping-particle":"","parse-names":false,"suffix":""},{"dropping-particle":"","family":"Zou","given":"Yuanyuan","non-dropping-particle":"","parse-names":false,"suffix":""},{"dropping-particle":"","family":"Zhang","given":"Lifeng","non-dropping-particle":"","parse-names":false,"suffix":""}],"container-title":"Journal of Pediatric Nursing","id":"ITEM-1","issued":{"date-parts":[["2020"]]},"publisher":"Elsevier Inc.","title":"Posttraumatic growth among parents of children with autism spectrum disorder in China and its relationship to family function and mental resilience: A cross-sectional study","type":"article-journal"},"uris":["http://www.mendeley.com/documents/?uuid=66d00bd4-ab68-46e2-8459-eb2d25066764"]}],"mendeley":{"formattedCitation":"(Qin et al., 2020)","plainTextFormattedCitation":"(Qin et al., 2020)","previouslyFormattedCitation":"(Qin et al., 2020)"},"properties":{"noteIndex":0},"schema":"https://github.com/citation-style-language/schema/raw/master/csl-citation.json"}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(Qin et al., 2020)</w:t>
      </w:r>
      <w:r w:rsidRPr="00AE7D7D">
        <w:rPr>
          <w:rFonts w:ascii="Book Antiqua" w:hAnsi="Book Antiqua" w:cs="Times New Roman"/>
        </w:rPr>
        <w:fldChar w:fldCharType="end"/>
      </w:r>
      <w:r w:rsidRPr="00AE7D7D">
        <w:rPr>
          <w:rFonts w:ascii="Book Antiqua" w:hAnsi="Book Antiqua" w:cs="Times New Roman"/>
        </w:rPr>
        <w:t xml:space="preserve">.menjabarkan bahwa aspek-aspek pengasuhan dapat diterapkan dalam keluarga salah satunya bisa </w:t>
      </w:r>
      <w:r w:rsidRPr="00AE7D7D">
        <w:rPr>
          <w:rFonts w:ascii="Book Antiqua" w:hAnsi="Book Antiqua" w:cs="Times New Roman"/>
          <w:i/>
        </w:rPr>
        <w:t>(can do)</w:t>
      </w:r>
      <w:r w:rsidRPr="00AE7D7D">
        <w:rPr>
          <w:rFonts w:ascii="Book Antiqua" w:hAnsi="Book Antiqua" w:cs="Times New Roman"/>
        </w:rPr>
        <w:t xml:space="preserve"> keluarga dari berpenghasilan rendah memang bukan menjadi pilihan, hal tersebut terjadi karena beberapa faktor dalam keluarga, ibu yang berpenghasilan rendah melakukan usaha yang terbaik untuk anak salah satunya pemberian gizi. Ibu dari berpenghasilan rendah tetap memberikan makan yang bergizi dengan berbagai cara agar dapat memberikan yang terbaik untuk anak. Usaha yang dilakukan orang tua dalam memberikan makanan yang bergizi merupakan salah satu bentuk pengasuhan yang harus diterapkan oleh semua orang tua. Walaupun orang tua dari kalangan menengah ke bawah namun kebutuhan pangan anak harus tetap diperhatikan dengan baik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{"citationItems":[{"id":"ITEM-1","itemData":{"DOI":"10.1016/j.applanim.2020.105131","ISSN":"01681591","abstract":"Dog-directed parenting is an aspect of the owner-dog relationship that describes the overarching emotional sphere in which the dog's guidance and training take place. How dog-directed parenting styles express in specific owner-dog interactions is presently unknown. However, such knowledge can help to advise dog owners on appropriate parenting of their dog. Child-directed parenting is regarded appropriate when it is demanding for socially adaptive behaviour as well as responsive to the child's needs. This combination of high demandingness and responsiveness is known as authoritative parenting, which in dog-directed parenting manifests in two ways. Teaching the dog socially adaptive behaviour is key to the authoritative-training style (AUT) and being responsive to the dog's perceived needs and emotions is key to the authoritative-intrinsic style (AUI). A third dog-directed parenting style, the authoritarian-correction style (AUC), of high demandingness and low responsiveness focusses on correcting the dog's undesired behaviour. We determined these three dog-directed parenting styles by an online questionnaire and tested the styles for associations with owner and dog behaviours. The behaviours were scored as the owner-dog dyads walked a short course with distractions (treats and balls) that dogs should ignore (N = 40) or when they had a ten-minute break together (N = 36). Nine out of 49 behavioural observations, such as verbally praising or correcting the dog and leash tensions, related significantly (comparison-wise two-tailed P &lt; 0.05) to the parenting styles and Spearman rank correlations explained up to 30 % of the variance. The self-report-based dog-directed parenting styles related logically to the way owners actually interacted with their dogs, verbally and by leash. AUI and AUT parenting related directly to verbally praising the dog. AUC parenting related directly to verbally correcting the dog and to leash tensions. Also, AUC parenting related inversely and AUT parenting directly to the dog frequently looking at its owner during the course with distractions. Thus, we find evidence that verbal communication and leash tensions are telling about dog-directed parenting styles and, possibly, constitute meaningful manifestations to address in educational interventions for dog owners. We see potential merit in moving AUC parenting dog owners away from leash-related guidance towards verbal praise-based guidance and a more authoritative dog-directed parent…","author":[{"dropping-particle":"","family":"Herwijnen","given":"Ineke R.","non-dropping-particle":"van","parse-names":false,"suffix":""},{"dropping-particle":"","family":"Borg","given":"Joanne A.M.","non-dropping-particle":"van der","parse-names":false,"suffix":""},{"dropping-particle":"","family":"Naguib","given":"Marc","non-dropping-particle":"","parse-names":false,"suffix":""},{"dropping-particle":"","family":"Beerda","given":"Bonne","non-dropping-particle":"","parse-names":false,"suffix":""}],"container-title":"Applied Animal Behaviour Science","id":"ITEM-1","issued":{"date-parts":[["2020"]]},"page":"105131","publisher":"Elsevier B.V.","title":"Dog-directed parenting styles predict verbal and leash guidance in dog owners and owner-directed attention in dogs","type":"article-journal","volume":"232"},"uris":["http://www.mendeley.com/documents/?uuid=97bd9ccc-babc-4d60-b4b0-420714157877"]}],"mendeley":{"formattedCitation":"(van Herwijnen et al., 2020)","plainTextFormattedCitation":"(van Herwijnen et al., 2020)","previouslyFormattedCitation":"(van Herwijnen et al., 2020)"},"properties":{"noteIndex":0},"schema":"https://github.com/citation-style-language/schema/raw/master/csl-citation.json"}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(van Herwijnen et al., 2020)</w:t>
      </w:r>
      <w:r w:rsidRPr="00AE7D7D">
        <w:rPr>
          <w:rFonts w:ascii="Book Antiqua" w:hAnsi="Book Antiqua" w:cs="Times New Roman"/>
        </w:rPr>
        <w:fldChar w:fldCharType="end"/>
      </w:r>
      <w:r w:rsidRPr="00AE7D7D">
        <w:rPr>
          <w:rFonts w:ascii="Book Antiqua" w:hAnsi="Book Antiqua" w:cs="Times New Roman"/>
        </w:rPr>
        <w:t xml:space="preserve">. Menurut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{"citationItems":[{"id":"ITEM-1","itemData":{"DOI":"10.1016/j.hrmr.2019.100724","ISSN":"10534822","abstract":"The significant growth of Asian multinational enterprises (MNEs) in western economies in recent years, in particular in smaller advanced economies such as Ireland, has led to calls for a deeper understanding of the drivers of location choice among these MNEs and for more compelling accounts of the parenting and management of the subsidiaries being established. In this conceptual contribution, we focus on the specific case of Indian MNEs with subsidiaries in Ireland. Assembling theoretical insights from the literature on parenting styles and headquarter-subsidiary interactions, coupled with practice-led observations garnered from Indian MNEs, we develop a conceptual framework elucidating key variations in headquarter-subsidiary relationships and the HR policy and practice mix. We reason that the preferred approach to corporate parenting, vested in adding value to the subsidiary, extracting value from it, or seeking a balance in the overall exchange, results in a range of interactions between headquarters and subsidiaries, encompassing integration, collaboration or local responsiveness. Furthermore, we postulate that the preferred headquarter-subsidiary interactions influence the subsequent HR recipes adopted in the subsidiary setting as it seeks to build its strategic position within the broader MNE network. In order to deepen lines of inquiry around these different interactions, we advance a series of propositions for testing.","author":[{"dropping-particle":"","family":"Benoy","given":"Jenny","non-dropping-particle":"","parse-names":false,"suffix":""},{"dropping-particle":"","family":"Morley","given":"Michael J.","non-dropping-particle":"","parse-names":false,"suffix":""}],"container-title":"Human Resource Management Review","id":"ITEM-1","issue":"4","issued":{"date-parts":[["2020"]]},"page":"100724","publisher":"Elsevier","title":"Out of India: Towards a conceptual framework on internationalization motives, parenting styles and human resource management practices among Indian MNE subsidiaries in Ireland","type":"article-journal","volume":"30"},"uris":["http://www.mendeley.com/documents/?uuid=bbee0b41-01bb-4d83-bb4d-ad5b72ee89a3"]}],"mendeley":{"formattedCitation":"(Benoy &amp; Morley, 2020)","plainTextFormattedCitation":"(Benoy &amp; Morley, 2020)","previouslyFormattedCitation":"(Benoy &amp; Morley, 2020)"},"properties":{"noteIndex":0},"schema":"https://github.com/citation-style-language/schema/raw/master/csl-citation.json"}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(Benoy &amp; Morley, 2020)</w:t>
      </w:r>
      <w:r w:rsidRPr="00AE7D7D">
        <w:rPr>
          <w:rFonts w:ascii="Book Antiqua" w:hAnsi="Book Antiqua" w:cs="Times New Roman"/>
        </w:rPr>
        <w:fldChar w:fldCharType="end"/>
      </w:r>
      <w:r w:rsidRPr="00AE7D7D">
        <w:rPr>
          <w:rFonts w:ascii="Book Antiqua" w:hAnsi="Book Antiqua" w:cs="Times New Roman"/>
        </w:rPr>
        <w:t xml:space="preserve"> bahwa aspek pola asuh orang tua yang sangat penting pada anak adalah penerimaan dan kontrol. Penerimaan adalah dukungan dan kasih sayang yang terlihat dari senyuman, pujian, dan dorongan. Kontrol mengacu pada pengawasan terhadap aktivitas anak</w:t>
      </w:r>
      <w:r w:rsidR="00EF4E84">
        <w:rPr>
          <w:rFonts w:ascii="Book Antiqua" w:hAnsi="Book Antiqua" w:cs="Times New Roman"/>
          <w:lang w:val="en-US"/>
        </w:rPr>
        <w:t xml:space="preserve"> </w:t>
      </w:r>
      <w:proofErr w:type="spellStart"/>
      <w:r w:rsidR="00EF4E84">
        <w:rPr>
          <w:rFonts w:ascii="Book Antiqua" w:hAnsi="Book Antiqua" w:cs="Times New Roman"/>
          <w:lang w:val="en-US"/>
        </w:rPr>
        <w:t>usia</w:t>
      </w:r>
      <w:proofErr w:type="spellEnd"/>
      <w:r w:rsidR="00EF4E84">
        <w:rPr>
          <w:rFonts w:ascii="Book Antiqua" w:hAnsi="Book Antiqua" w:cs="Times New Roman"/>
          <w:lang w:val="en-US"/>
        </w:rPr>
        <w:t xml:space="preserve"> </w:t>
      </w:r>
      <w:proofErr w:type="spellStart"/>
      <w:r w:rsidR="00EF4E84">
        <w:rPr>
          <w:rFonts w:ascii="Book Antiqua" w:hAnsi="Book Antiqua" w:cs="Times New Roman"/>
          <w:lang w:val="en-US"/>
        </w:rPr>
        <w:t>dini</w:t>
      </w:r>
      <w:proofErr w:type="spellEnd"/>
      <w:r w:rsidRPr="00AE7D7D">
        <w:rPr>
          <w:rFonts w:ascii="Book Antiqua" w:hAnsi="Book Antiqua" w:cs="Times New Roman"/>
        </w:rPr>
        <w:t xml:space="preserve">. </w:t>
      </w:r>
    </w:p>
    <w:p w14:paraId="5C364A93" w14:textId="77777777" w:rsidR="00AE7D7D" w:rsidRPr="00AE7D7D" w:rsidRDefault="00AE7D7D" w:rsidP="00AE7D7D">
      <w:pPr>
        <w:spacing w:after="0"/>
        <w:ind w:firstLine="709"/>
        <w:jc w:val="both"/>
        <w:rPr>
          <w:rFonts w:ascii="Book Antiqua" w:hAnsi="Book Antiqua"/>
        </w:rPr>
      </w:pPr>
      <w:r w:rsidRPr="00AE7D7D">
        <w:rPr>
          <w:rFonts w:ascii="Book Antiqua" w:hAnsi="Book Antiqua"/>
        </w:rPr>
        <w:t xml:space="preserve">Pola asuh yang positif yang dilakukan oleh orang tua dapat membentuk </w:t>
      </w:r>
      <w:r w:rsidRPr="00AE7D7D">
        <w:rPr>
          <w:rFonts w:ascii="Book Antiqua" w:eastAsia="Arial Unicode MS" w:hAnsi="Book Antiqua" w:cs="Times New Roman"/>
          <w:i/>
        </w:rPr>
        <w:t xml:space="preserve">Adversity Quotient </w:t>
      </w:r>
      <w:r w:rsidRPr="00AE7D7D">
        <w:rPr>
          <w:rFonts w:ascii="Book Antiqua" w:hAnsi="Book Antiqua"/>
        </w:rPr>
        <w:t xml:space="preserve">pada diri seorang anak </w:t>
      </w:r>
      <w:r w:rsidRPr="00AE7D7D">
        <w:rPr>
          <w:rFonts w:ascii="Book Antiqua" w:hAnsi="Book Antiqua"/>
        </w:rPr>
        <w:fldChar w:fldCharType="begin" w:fldLock="1"/>
      </w:r>
      <w:r w:rsidRPr="00AE7D7D">
        <w:rPr>
          <w:rFonts w:ascii="Book Antiqua" w:hAnsi="Book Antiqua"/>
        </w:rPr>
        <w:instrText>ADDIN CSL_CITATION {"citationItems":[{"id":"ITEM-1","itemData":{"DOI":"10.1016/j.jcbs.2020.07.011","ISSN":"22121447","abstract":"The COVID-19 pandemic has led to hardship for individuals across the globe, and research to-date has indicated a significant impact of the pandemic on mental health functioning. In order to promote psychological resilience during this time, it is important to understand modifiable targets for clinical intervention. The current study examined demographic characteristics, pandemic-related adversity, and psychological flexibility in relation to general and peritraumatic distress in a sample of United States survey respondents during May of 2020. Participants were recruited from Amazon Mechanical Turk (MTurk), N = 485. Participants completed measures of pandemic-related adversity, psychological flexibility components (openness to experience, behavioral awareness, and valued action), peritraumatic distress, and general distress. Hierarchical regression analyses examined whether demographic characteristics, pandemic-related adversity, and components of psychological flexibility were associated with general and peritraumatic distress. Results indicated that higher pandemic-related adversity, lower openness to experience, and lower behavioral awareness were significantly associated with higher general distress. Greater pandemic-related adversity, lower openness to experience, lower behavioral awareness, and higher valued action were significantly associated with higher peritraumatic distress. Adding the components of psychological flexibility to the model increased the amount of variance accounted for in both measures of distress. The results indicated that psychological flexibility components may be particularly important targets for prevention and intervention efforts in the midst of the COVID-19 pandemic. Transdiagnostic interventions, such as Acceptance and Commitment Therapy, that target psychological flexibility may be useful as the impact of the pandemic continues to unfold.","author":[{"dropping-particle":"","family":"Kroska","given":"Emily B.","non-dropping-particle":"","parse-names":false,"suffix":""},{"dropping-particle":"","family":"Roche","given":"Anne I.","non-dropping-particle":"","parse-names":false,"suffix":""},{"dropping-particle":"","family":"Adamowicz","given":"Jenna L.","non-dropping-particle":"","parse-names":false,"suffix":""},{"dropping-particle":"","family":"Stegall","given":"Manny S.","non-dropping-particle":"","parse-names":false,"suffix":""}],"container-title":"Journal of Contextual Behavioral Science","id":"ITEM-1","issue":"June","issued":{"date-parts":[["2020"]]},"page":"28-33","publisher":"Elsevier Inc.","title":"Psychological flexibility in the context of COVID-19 adversity: Associations with distress","type":"article-journal","volume":"18"},"uris":["http://www.mendeley.com/documents/?uuid=b6e8e87a-19ce-4e96-a9c8-b3e75d372156"]}],"mendeley":{"formattedCitation":"(Kroska et al., 2020)","plainTextFormattedCitation":"(Kroska et al., 2020)","previouslyFormattedCitation":"(Kroska et al., 2020)"},"properties":{"noteIndex":0},"schema":"https://github.com/citation-style-language/schema/raw/master/csl-citation.json"}</w:instrText>
      </w:r>
      <w:r w:rsidRPr="00AE7D7D">
        <w:rPr>
          <w:rFonts w:ascii="Book Antiqua" w:hAnsi="Book Antiqua"/>
        </w:rPr>
        <w:fldChar w:fldCharType="separate"/>
      </w:r>
      <w:r w:rsidRPr="00AE7D7D">
        <w:rPr>
          <w:rFonts w:ascii="Book Antiqua" w:hAnsi="Book Antiqua"/>
          <w:noProof/>
        </w:rPr>
        <w:t>(Kroska et al., 2020)</w:t>
      </w:r>
      <w:r w:rsidRPr="00AE7D7D">
        <w:rPr>
          <w:rFonts w:ascii="Book Antiqua" w:hAnsi="Book Antiqua"/>
        </w:rPr>
        <w:fldChar w:fldCharType="end"/>
      </w:r>
      <w:r w:rsidRPr="00AE7D7D">
        <w:rPr>
          <w:rFonts w:ascii="Book Antiqua" w:hAnsi="Book Antiqua"/>
        </w:rPr>
        <w:t xml:space="preserve">. </w:t>
      </w:r>
      <w:r w:rsidRPr="00AE7D7D">
        <w:rPr>
          <w:rFonts w:ascii="Book Antiqua" w:eastAsia="Arial Unicode MS" w:hAnsi="Book Antiqua" w:cs="Times New Roman"/>
          <w:i/>
        </w:rPr>
        <w:t>Adversity Quotient</w:t>
      </w:r>
      <w:r w:rsidRPr="00AE7D7D">
        <w:rPr>
          <w:rFonts w:ascii="Book Antiqua" w:hAnsi="Book Antiqua"/>
          <w:i/>
        </w:rPr>
        <w:t xml:space="preserve"> </w:t>
      </w:r>
      <w:r w:rsidRPr="00AE7D7D">
        <w:rPr>
          <w:rFonts w:ascii="Book Antiqua" w:hAnsi="Book Antiqua"/>
        </w:rPr>
        <w:t xml:space="preserve">sendiri dapat diartikan sebagai kecerdasan individu dalam menghadapi setiap kesulitan yang muncul yang dihadapi. Jika anak berhadapan dengan berbagai kesulitan hidup, maka kecerdasan yang digunakan adalah </w:t>
      </w:r>
      <w:r w:rsidRPr="00AE7D7D">
        <w:rPr>
          <w:rFonts w:ascii="Book Antiqua" w:hAnsi="Book Antiqua"/>
          <w:i/>
        </w:rPr>
        <w:t xml:space="preserve">Adversity </w:t>
      </w:r>
      <w:r w:rsidRPr="00AE7D7D">
        <w:rPr>
          <w:rFonts w:ascii="Book Antiqua" w:hAnsi="Book Antiqua"/>
          <w:i/>
        </w:rPr>
        <w:fldChar w:fldCharType="begin" w:fldLock="1"/>
      </w:r>
      <w:r w:rsidRPr="00AE7D7D">
        <w:rPr>
          <w:rFonts w:ascii="Book Antiqua" w:hAnsi="Book Antiqua"/>
          <w:i/>
        </w:rPr>
        <w:instrText>ADDIN CSL_CITATION {"citationItems":[{"id":"ITEM-1","itemData":{"DOI":"10.1016/j.lindif.2020.101936","ISSN":"18733425","abstract":"Academic buoyancy, the ability to respond adaptively to minor academic adversities, is positively related to achievement-related beliefs, emotions, and behaviours. No studies, however, have examined whether academic buoyancy moderates the relations between minor academic adversities and subsequent achievement. The objective of present study was to examine whether academic buoyancy protected achievement (end-of-year examination grades) against two types of minor adversities (non-attendance and behavioural misconduct) in a sample of 539 upper secondary (6th form) students. Having controlled for prior achievement, gender and age, Academic Buoyancy Scale scores moderated relations from non-attendance and behavioural misconduct to subsequent achievement. In the presence of adversity (non-attendance and behavioural misconduct) the achievement of high academically buoyant students was protected. The protective role of academic buoyancy diminished as adversity lessened. Since minor adversities will be experienced by many students, efforts to foster academic buoyancy would likely be beneficial for achievement outcomes.","author":[{"dropping-particle":"","family":"Putwain","given":"David W.","non-dropping-particle":"","parse-names":false,"suffix":""},{"dropping-particle":"","family":"Gallard","given":"Diahann","non-dropping-particle":"","parse-names":false,"suffix":""},{"dropping-particle":"","family":"Beaumont","given":"Joanna","non-dropping-particle":"","parse-names":false,"suffix":""}],"container-title":"Learning and Individual Differences","id":"ITEM-1","issue":"September","issued":{"date-parts":[["2020"]]},"page":"101936","publisher":"Elsevier","title":"Academic buoyancy protects achievement against minor academic adversities","type":"article-journal","volume":"83-84"},"uris":["http://www.mendeley.com/documents/?uuid=c8dab74f-c162-4a7e-a571-6d7b68771906"]}],"mendeley":{"formattedCitation":"(Putwain et al., 2020)","plainTextFormattedCitation":"(Putwain et al., 2020)","previouslyFormattedCitation":"(Putwain et al., 2020)"},"properties":{"noteIndex":0},"schema":"https://github.com/citation-style-language/schema/raw/master/csl-citation.json"}</w:instrText>
      </w:r>
      <w:r w:rsidRPr="00AE7D7D">
        <w:rPr>
          <w:rFonts w:ascii="Book Antiqua" w:hAnsi="Book Antiqua"/>
          <w:i/>
        </w:rPr>
        <w:fldChar w:fldCharType="separate"/>
      </w:r>
      <w:r w:rsidRPr="00AE7D7D">
        <w:rPr>
          <w:rFonts w:ascii="Book Antiqua" w:hAnsi="Book Antiqua"/>
          <w:noProof/>
        </w:rPr>
        <w:t>(Putwain et al., 2020)</w:t>
      </w:r>
      <w:r w:rsidRPr="00AE7D7D">
        <w:rPr>
          <w:rFonts w:ascii="Book Antiqua" w:hAnsi="Book Antiqua"/>
          <w:i/>
        </w:rPr>
        <w:fldChar w:fldCharType="end"/>
      </w:r>
      <w:r w:rsidRPr="00AE7D7D">
        <w:rPr>
          <w:rFonts w:ascii="Book Antiqua" w:hAnsi="Book Antiqua"/>
          <w:noProof/>
        </w:rPr>
        <w:t xml:space="preserve">. </w:t>
      </w:r>
      <w:r w:rsidRPr="00AE7D7D">
        <w:rPr>
          <w:rFonts w:ascii="Book Antiqua" w:hAnsi="Book Antiqua"/>
        </w:rPr>
        <w:t xml:space="preserve">Dari penjelasan tersebut dapat disimpulkan bahwa, </w:t>
      </w:r>
      <w:r w:rsidRPr="00AE7D7D">
        <w:rPr>
          <w:rFonts w:ascii="Book Antiqua" w:eastAsia="Arial Unicode MS" w:hAnsi="Book Antiqua" w:cs="Times New Roman"/>
          <w:i/>
        </w:rPr>
        <w:t>Adversity Quotient</w:t>
      </w:r>
      <w:r w:rsidRPr="00AE7D7D">
        <w:rPr>
          <w:rFonts w:ascii="Book Antiqua" w:hAnsi="Book Antiqua"/>
          <w:i/>
        </w:rPr>
        <w:t xml:space="preserve"> </w:t>
      </w:r>
      <w:r w:rsidRPr="00AE7D7D">
        <w:rPr>
          <w:rFonts w:ascii="Book Antiqua" w:hAnsi="Book Antiqua"/>
        </w:rPr>
        <w:t xml:space="preserve">merupakan kemampuan anak dalam menghadapi masalah yang dianggapnya sulit apapun namun tetap akan bertahan dan berusaha untuk menyelsaikan dengan sebaik-sebaiknya supaya menjadi individu yang memiliki kualitas baik. Maka dari itu anak dapat terbentuk apabila didalam dirinya terdapat dimensi-dimensi yang menyertainya seperti memiliki keyakinan dan kepercayaan diri dalam melakukan tugas semudah dan sesulit apapun serta bertanggung jawab dan fokus dalam menyelesaikan tugas yang diberikan serta memiliki jiwa kreatif dalam penyelesaian tugas tersebut sehingga tidak monoton dan membosankan bagi kehidupan anak </w:t>
      </w:r>
      <w:r w:rsidRPr="00AE7D7D">
        <w:rPr>
          <w:rFonts w:ascii="Book Antiqua" w:hAnsi="Book Antiqua"/>
        </w:rPr>
        <w:fldChar w:fldCharType="begin" w:fldLock="1"/>
      </w:r>
      <w:r w:rsidRPr="00AE7D7D">
        <w:rPr>
          <w:rFonts w:ascii="Book Antiqua" w:hAnsi="Book Antiqua"/>
        </w:rPr>
        <w:instrText>ADDIN CSL_CITATION {"citationItems":[{"id":"ITEM-1","itemData":{"DOI":"10.1016/j.childyouth.2020.105381","ISSN":"01907409","abstract":"The purpose of this study was to examine the relationship between parents’ perceived parenting styles and Chinese children's school readiness and the moderating role of family socioeconomic status (SES) in this relationship. A total of 307 parents (M = 35.77, SD = 4.65) and their five to six years old children (M = 5.53, SD = 0.50), from four kindergartens in Shanghai, China, participated in this study. Results indicated that authoritative parenting was positively related to children's readiness for communication and general knowledge, language and cognitive development, social competence, and emotional maturity. Authoritarian parenting was negatively associated with children's readiness for social competence and emotional maturity and permissive parenting negatively related to children's readiness for social competence. Family SES moderated the effect of authoritative parenting on children's performance in communication and general knowledge, language and cognitive development. Implications for research, practice and policy are discussed.","author":[{"dropping-particle":"","family":"Xia","given":"Xiaoying","non-dropping-particle":"","parse-names":false,"suffix":""}],"container-title":"Children and Youth Services Review","id":"ITEM-1","issue":"April","issued":{"date-parts":[["2020"]]},"page":"105381","publisher":"Elsevier","title":"Parenting style and Chinese children's school readiness outcomes: The moderating role of socioeconomic status","type":"article-journal","volume":"118"},"uris":["http://www.mendeley.com/documents/?uuid=a2fc0801-3ed0-4f28-8619-ed74afda8a92"]}],"mendeley":{"formattedCitation":"(Xia, 2020)","plainTextFormattedCitation":"(Xia, 2020)","previouslyFormattedCitation":"(Xia, 2020)"},"properties":{"noteIndex":0},"schema":"https://github.com/citation-style-language/schema/raw/master/csl-citation.json"}</w:instrText>
      </w:r>
      <w:r w:rsidRPr="00AE7D7D">
        <w:rPr>
          <w:rFonts w:ascii="Book Antiqua" w:hAnsi="Book Antiqua"/>
        </w:rPr>
        <w:fldChar w:fldCharType="separate"/>
      </w:r>
      <w:r w:rsidRPr="00AE7D7D">
        <w:rPr>
          <w:rFonts w:ascii="Book Antiqua" w:hAnsi="Book Antiqua"/>
          <w:noProof/>
        </w:rPr>
        <w:t>(Xia, 2020)</w:t>
      </w:r>
      <w:r w:rsidRPr="00AE7D7D">
        <w:rPr>
          <w:rFonts w:ascii="Book Antiqua" w:hAnsi="Book Antiqua"/>
        </w:rPr>
        <w:fldChar w:fldCharType="end"/>
      </w:r>
      <w:r w:rsidRPr="00AE7D7D">
        <w:rPr>
          <w:rFonts w:ascii="Book Antiqua" w:hAnsi="Book Antiqua"/>
        </w:rPr>
        <w:t xml:space="preserve">. Keberhasilan anak dalam menghadapi seluruh tantangan melaui kehidupannya tidak lepas dari peran orang yang mempu membentuk kepribadiannya yang tidak gampang menyerah dan selalu pantang menyerah terus maju kedepan </w:t>
      </w:r>
      <w:r w:rsidRPr="00AE7D7D">
        <w:rPr>
          <w:rFonts w:ascii="Book Antiqua" w:hAnsi="Book Antiqua"/>
        </w:rPr>
        <w:fldChar w:fldCharType="begin" w:fldLock="1"/>
      </w:r>
      <w:r w:rsidRPr="00AE7D7D">
        <w:rPr>
          <w:rFonts w:ascii="Book Antiqua" w:hAnsi="Book Antiqua"/>
        </w:rPr>
        <w:instrText>ADDIN CSL_CITATION {"citationItems":[{"id":"ITEM-1","itemData":{"abstract":"Penelitian ini bertujuan untuk mendeskripsikan tingkat agresivitas anak usia 4-5 tahun pada keluarga dengan pola asuh kekerasan di Paud Khodijah Aisyiyah Kecamatan Camplong Kabupaten Sampang. Penelitian ini merupakan penelitian kualitatif studi kasus pada anak usia 4-5 tahun. Teknik analisis data menggunakan model yang di kemukakan Miles and Huberman yang terdiri dari 3 tahapan: reduksi data, penyajian data dan penarikan kesimpulan. Teknik pengumpulan data yang digunakan observasi, wawancara dan dokumentasi. Hasil penelitian menunjukkan bahwa tingkat agresivitas anak usia 4-5 tahun pada keluarga dengan pola asuh kekerasan di Paud Khodijah Aisyiyah kecamatan camplong kabupaten sampang, di pengaruhi oleh pola asuh kekerasan yang diterapkan oleh keluarga. Selain pola asuh kekerasan yang diterapkan oleh keluarga dirumah terdapat faktor lain yang dapat mempengaruhi tingkat agresivitas anak di sekolah yaitu teman di sekolah tidak mau bermain dengannya dengan alasan takut disakiti oleh anak agresif. Hal tersebut bisa membuat tidak nyaman pada anak agresif sehingga anak akan menampilkan perilaku yang semakin agresif","author":[{"dropping-particle":"","family":"Susmiati","given":"","non-dropping-particle":"","parse-names":false,"suffix":""},{"dropping-particle":"","family":"Saida","given":"Naili","non-dropping-particle":"","parse-names":false,"suffix":""},{"dropping-particle":"","family":"AbidiN","given":"Ratno","non-dropping-particle":"","parse-names":false,"suffix":""}],"container-title":"Jurnal Anak Usia Dini dan Pendidikan Anak Usia Dini","id":"ITEM-1","issue":"1","issued":{"date-parts":[["2020"]]},"page":"76-82","title":"Tingkat Agresivitas Anak Usia 4-5 Tahun pada Keluarga dengan Pola Asuh Kekerasan di PAUD Khodijah Aisyiyah Kecamatan Camplong Kabupaten Sampang","type":"article-journal","volume":"6"},"uris":["http://www.mendeley.com/documents/?uuid=520c9fb4-d04b-4874-973e-3384510691bc"]}],"mendeley":{"formattedCitation":"(Susmiati et al., 2020)","plainTextFormattedCitation":"(Susmiati et al., 2020)","previouslyFormattedCitation":"(Susmiati et al., 2020)"},"properties":{"noteIndex":0},"schema":"https://github.com/citation-style-language/schema/raw/master/csl-citation.json"}</w:instrText>
      </w:r>
      <w:r w:rsidRPr="00AE7D7D">
        <w:rPr>
          <w:rFonts w:ascii="Book Antiqua" w:hAnsi="Book Antiqua"/>
        </w:rPr>
        <w:fldChar w:fldCharType="separate"/>
      </w:r>
      <w:r w:rsidRPr="00AE7D7D">
        <w:rPr>
          <w:rFonts w:ascii="Book Antiqua" w:hAnsi="Book Antiqua"/>
          <w:noProof/>
        </w:rPr>
        <w:t>(Susmiati et al., 2020)</w:t>
      </w:r>
      <w:r w:rsidRPr="00AE7D7D">
        <w:rPr>
          <w:rFonts w:ascii="Book Antiqua" w:hAnsi="Book Antiqua"/>
        </w:rPr>
        <w:fldChar w:fldCharType="end"/>
      </w:r>
      <w:r w:rsidRPr="00AE7D7D">
        <w:rPr>
          <w:rFonts w:ascii="Book Antiqua" w:hAnsi="Book Antiqua"/>
        </w:rPr>
        <w:t xml:space="preserve">. </w:t>
      </w:r>
    </w:p>
    <w:p w14:paraId="29D7C93D" w14:textId="77777777" w:rsidR="00AE7D7D" w:rsidRPr="00AE7D7D" w:rsidRDefault="00AE7D7D" w:rsidP="00AE7D7D">
      <w:pPr>
        <w:spacing w:after="0"/>
        <w:ind w:firstLine="709"/>
        <w:jc w:val="both"/>
        <w:rPr>
          <w:rFonts w:ascii="Book Antiqua" w:hAnsi="Book Antiqua"/>
        </w:rPr>
      </w:pPr>
      <w:r w:rsidRPr="00AE7D7D">
        <w:rPr>
          <w:rFonts w:ascii="Book Antiqua" w:hAnsi="Book Antiqua"/>
        </w:rPr>
        <w:t xml:space="preserve">Dalam konteks ini yang harus dipertimbangkan dalam kesuksesan proses pembelajaran yaitu berasal dari akurasi memahami setiap individu anak dalam kecerdasan diri sendiri dan hubungannya dengan orang lain </w:t>
      </w:r>
      <w:r w:rsidRPr="00AE7D7D">
        <w:rPr>
          <w:rFonts w:ascii="Book Antiqua" w:hAnsi="Book Antiqua"/>
        </w:rPr>
        <w:fldChar w:fldCharType="begin" w:fldLock="1"/>
      </w:r>
      <w:r w:rsidRPr="00AE7D7D">
        <w:rPr>
          <w:rFonts w:ascii="Book Antiqua" w:hAnsi="Book Antiqua"/>
        </w:rPr>
        <w:instrText>ADDIN CSL_CITATION {"citationItems":[{"id":"ITEM-1","itemData":{"DOI":"10.1016/j.dcn.2020.100894","ISSN":"18789307","abstract":"Characterizing typologies of childhood adversity may inform the development of risk profiles and corresponding interventions aimed at mitigating its lifelong consequences. A neurobiological grounding of these typologies requires systematic comparisons of neural structure and function among individuals with different exposure histories. Using seed-to-whole brain analyses, this study examined associations between childhood adversity and amygdala resting-state functional connectivity (rs-fc) in adolescents aged 11–19 years across three independent studies (N = 223; 127 adversity group) in both general and dimensional models of adversity (comparing abuse and neglect). In a general model, adversity was associated with altered amygdala rs-fc with clusters within the left anterior lateral prefrontal cortex. In a dimensional model, abuse was associated with altered amygdala rs-fc within the orbitofrontal cortex, dorsal precuneus, posterior cingulate cortex, and dorsal anterior cingulate cortex/anterior mid-cingulate cortex, as well as within the dorsal attention, visual, and somatomotor networks. Neglect was associated with altered amygdala rs-fc with the hippocampus, supplementary motor cortex, temporoparietal junction, and regions within the dorsal attention network. Both general and dimensional models revealed unique regions, potentially reflecting pathways by which distinct histories of adversity may influence adolescent behavior, cognition, and psychopathology.","author":[{"dropping-particle":"","family":"Cheng","given":"Theresa W.","non-dropping-particle":"","parse-names":false,"suffix":""},{"dropping-particle":"","family":"Mills","given":"Kathryn L.","non-dropping-particle":"","parse-names":false,"suffix":""},{"dropping-particle":"","family":"Miranda Dominguez","given":"Oscar","non-dropping-particle":"","parse-names":false,"suffix":""},{"dropping-particle":"","family":"Zeithamova","given":"Dagmar","non-dropping-particle":"","parse-names":false,"suffix":""},{"dropping-particle":"","family":"Perrone","given":"Anders","non-dropping-particle":"","parse-names":false,"suffix":""},{"dropping-particle":"","family":"Sturgeon","given":"Darrick","non-dropping-particle":"","parse-names":false,"suffix":""},{"dropping-particle":"","family":"Feldstein Ewing","given":"Sarah W.","non-dropping-particle":"","parse-names":false,"suffix":""},{"dropping-particle":"","family":"Fisher","given":"Philip A.","non-dropping-particle":"","parse-names":false,"suffix":""},{"dropping-particle":"","family":"Pfeifer","given":"Jennifer H.","non-dropping-particle":"","parse-names":false,"suffix":""},{"dropping-particle":"","family":"Fair","given":"Damien A.","non-dropping-particle":"","parse-names":false,"suffix":""},{"dropping-particle":"","family":"Mackiewicz Seghete","given":"Kristen L.","non-dropping-particle":"","parse-names":false,"suffix":""}],"container-title":"Developmental Cognitive Neuroscience","id":"ITEM-1","issued":{"date-parts":[["2021"]]},"page":"100894","publisher":"Elsevier Ltd","title":"Characterizing the impact of adversity, abuse, and neglect on adolescent amygdala resting-state functional connectivity","type":"article-journal","volume":"47"},"uris":["http://www.mendeley.com/documents/?uuid=e27bccca-a008-45f0-a973-6b0e719b330f"]}],"mendeley":{"formattedCitation":"(Cheng et al., 2021)","plainTextFormattedCitation":"(Cheng et al., 2021)","previouslyFormattedCitation":"(Cheng et al., 2021)"},"properties":{"noteIndex":0},"schema":"https://github.com/citation-style-language/schema/raw/master/csl-citation.json"}</w:instrText>
      </w:r>
      <w:r w:rsidRPr="00AE7D7D">
        <w:rPr>
          <w:rFonts w:ascii="Book Antiqua" w:hAnsi="Book Antiqua"/>
        </w:rPr>
        <w:fldChar w:fldCharType="separate"/>
      </w:r>
      <w:r w:rsidRPr="00AE7D7D">
        <w:rPr>
          <w:rFonts w:ascii="Book Antiqua" w:hAnsi="Book Antiqua"/>
          <w:noProof/>
        </w:rPr>
        <w:t>(Cheng et al., 2021)</w:t>
      </w:r>
      <w:r w:rsidRPr="00AE7D7D">
        <w:rPr>
          <w:rFonts w:ascii="Book Antiqua" w:hAnsi="Book Antiqua"/>
        </w:rPr>
        <w:fldChar w:fldCharType="end"/>
      </w:r>
      <w:r w:rsidRPr="00AE7D7D">
        <w:rPr>
          <w:rFonts w:ascii="Book Antiqua" w:hAnsi="Book Antiqua"/>
        </w:rPr>
        <w:t xml:space="preserve">. Seperti yang dikatakan oleh </w:t>
      </w:r>
      <w:r w:rsidRPr="00AE7D7D">
        <w:rPr>
          <w:rFonts w:ascii="Book Antiqua" w:hAnsi="Book Antiqua"/>
        </w:rPr>
        <w:fldChar w:fldCharType="begin" w:fldLock="1"/>
      </w:r>
      <w:r w:rsidRPr="00AE7D7D">
        <w:rPr>
          <w:rFonts w:ascii="Book Antiqua" w:hAnsi="Book Antiqua"/>
        </w:rPr>
        <w:instrText>ADDIN CSL_CITATION {"citationItems":[{"id":"ITEM-1","itemData":{"DOI":"10.1016/j.jad.2020.12.031","ISSN":"15732517","PMID":"33341646","abstract":"Background: Childhood adversity is related to poor mental health outcomes in adulthood. However, few studies have examined the epidemiology of major childhood adversities and their effects on depression and suicide attempts in Chinese college students. Methods: 2755 students completed a questionnaire of 10 items about major childhood adversities, one item about suicide attempts, and the Zung self-rating depression scale. Single-factor analysis and multivariate logistic regression analysis were used to explore the association between different types of adversity/different numbers of types of adversity and suicide attempts/depression. Results: 1916 (69.55%) respondents reported they had experienced major childhood adversities. Multivariate logistic regression analysis showed that witnessing a crash or murder, abuse by family members, and abuse by other adults or children were positively related to suicide attempts (OR: 1.712-2.222, all p&lt;0.05). Abuse by other adults or children (OR=1.648, p&lt;0.05) and serious injury during childhood (OR=1.494, p&lt;0.05) were risk factors for depression. Those who had experienced 3 or more types of adversity were more likely to have depression (OR=1.806, p=0.002)and to have committed suicide attempts (OR= 3.307,p&lt;0.001)compared to those without any adversities. Conclusion: The incidence of major childhood adversity is high among Chinese college students. Childhood adversity increases the risk of depression and suicide attempts. As the number of types of childhood adversity experienced by an individual increases, their risk ratio for suicide attempts and depression increases. To promote mental health, special attention should be given to those who have suffered childhood adversities.","author":[{"dropping-particle":"","family":"He","given":"Yuqiong","non-dropping-particle":"","parse-names":false,"suffix":""},{"dropping-particle":"","family":"Zhang","given":"Yaru","non-dropping-particle":"","parse-names":false,"suffix":""},{"dropping-particle":"","family":"Cui","given":"Xilong","non-dropping-particle":"","parse-names":false,"suffix":""},{"dropping-particle":"","family":"Zhong","given":"Yan","non-dropping-particle":"","parse-names":false,"suffix":""},{"dropping-particle":"","family":"He","given":"Wenjuan","non-dropping-particle":"","parse-names":false,"suffix":""},{"dropping-particle":"","family":"Liu","given":"Jianbo","non-dropping-particle":"","parse-names":false,"suffix":""},{"dropping-particle":"","family":"Luo","given":"Xuerong","non-dropping-particle":"","parse-names":false,"suffix":""},{"dropping-particle":"","family":"Gong","given":"Jingbo","non-dropping-particle":"","parse-names":false,"suffix":""}],"container-title":"Journal of Affective Disorders","id":"ITEM-1","issued":{"date-parts":[["2021"]]},"page":"331-337","publisher":"Elsevier B.V.","title":"Epidemiology of major childhood adversities and its effect on depression and suicide attempts in Chinese college students","type":"article-journal","volume":"281"},"uris":["http://www.mendeley.com/documents/?uuid=26a069cf-8217-49db-8b2a-12dd6db7db77"]}],"mendeley":{"formattedCitation":"(He et al., 2021)","plainTextFormattedCitation":"(He et al., 2021)","previouslyFormattedCitation":"(He et al., 2021)"},"properties":{"noteIndex":0},"schema":"https://github.com/citation-style-language/schema/raw/master/csl-citation.json"}</w:instrText>
      </w:r>
      <w:r w:rsidRPr="00AE7D7D">
        <w:rPr>
          <w:rFonts w:ascii="Book Antiqua" w:hAnsi="Book Antiqua"/>
        </w:rPr>
        <w:fldChar w:fldCharType="separate"/>
      </w:r>
      <w:r w:rsidRPr="00AE7D7D">
        <w:rPr>
          <w:rFonts w:ascii="Book Antiqua" w:hAnsi="Book Antiqua"/>
          <w:noProof/>
        </w:rPr>
        <w:t>(He et al., 2021)</w:t>
      </w:r>
      <w:r w:rsidRPr="00AE7D7D">
        <w:rPr>
          <w:rFonts w:ascii="Book Antiqua" w:hAnsi="Book Antiqua"/>
        </w:rPr>
        <w:fldChar w:fldCharType="end"/>
      </w:r>
      <w:r w:rsidRPr="00AE7D7D">
        <w:rPr>
          <w:rFonts w:ascii="Book Antiqua" w:hAnsi="Book Antiqua"/>
        </w:rPr>
        <w:t xml:space="preserve"> bahwa </w:t>
      </w:r>
      <w:r w:rsidRPr="00AE7D7D">
        <w:rPr>
          <w:rFonts w:ascii="Book Antiqua" w:eastAsia="Arial Unicode MS" w:hAnsi="Book Antiqua" w:cs="Times New Roman"/>
          <w:i/>
        </w:rPr>
        <w:t>Adversity Quotient</w:t>
      </w:r>
      <w:r w:rsidRPr="00AE7D7D">
        <w:rPr>
          <w:rFonts w:ascii="Book Antiqua" w:hAnsi="Book Antiqua"/>
          <w:i/>
          <w:iCs/>
        </w:rPr>
        <w:t xml:space="preserve"> </w:t>
      </w:r>
      <w:r w:rsidRPr="00AE7D7D">
        <w:rPr>
          <w:rFonts w:ascii="Book Antiqua" w:hAnsi="Book Antiqua"/>
        </w:rPr>
        <w:t xml:space="preserve">terdapat pengaruh yang signifikanantara terhadap prestasi belajar diperoleh, kemudian kemampuan seseorang dalam menghadapi masalah yang dianggapnya sulit namun mereka akan tetap bertahan dan berusaha untuk menyelsaikan dengan sebaik-sebaiknya sehingga mencapai pada keberhasilan prestasi belajar yang maksimal dan memuskan. Dalam kehidupan sehari-hari keluarga memiliki peran penting dalam menentukan keberhasilan seseorang. Aktivitas kehidupan sesorang yang memiliki akses terdekat dengan keluarga </w:t>
      </w:r>
      <w:r w:rsidRPr="00AE7D7D">
        <w:rPr>
          <w:rFonts w:ascii="Book Antiqua" w:hAnsi="Book Antiqua"/>
        </w:rPr>
        <w:fldChar w:fldCharType="begin" w:fldLock="1"/>
      </w:r>
      <w:r w:rsidRPr="00AE7D7D">
        <w:rPr>
          <w:rFonts w:ascii="Book Antiqua" w:hAnsi="Book Antiqua"/>
        </w:rPr>
        <w:instrText>ADDIN CSL_CITATION {"citationItems":[{"id":"ITEM-1","itemData":{"DOI":"10.1016/S2468-2667(20)30202-4","ISSN":"24682667","PMID":"33120044","abstract":"Background: Children of parents with mental illness are a vulnerable group, but their numbers and their exposure to adversity have rarely been examined. We examined the prevalence of children with parents with mental illness in Sweden, trends in prevalence from 2006 to 2016, and these children's exposure to socioeconomic adversity. Methods: We did a population-based cohort study among all children (aged &lt;18 years) born in Sweden between Jan 1, 1991, and Dec 31, 2011, and their parents, followed up between Jan 1, 2006, and Dec 31, 2016. We included children who were identified in the Total Population Register and linked to their birth parents, excluding adopted children and those with missing information on both birth parents. We used a comprehensive register linkage, Psychiatry Sweden, to follow up for indicators of parental mental illness and socioeconomic adversity. Marginal predictions from a standard logistic regression model were used to estimate age-specific, 3-year period prevalence of parental mental illness and trends in prevalence for 2006–16. Using cross-sectional data on each child, indicators of socioeconomic adversity were compared between children with and without concurrent parental mental illness using logistic regression. Findings: Of 2 198 289 children born in Sweden between Jan 1, 1991, and Dec 31, 2011, we analysed 2 110 988 children (96·03% of the total population). The overall prevalence of children with diagnosed parental mental illness between 2006 and 2016 was 9·53% (95% CI 9·50–9·57). This prevalence increased with age of the child, from 6·72% (6·65–6·78) of the youngest children (0 to &lt;3 years) to 10·80% (10·73–10·89) in the oldest (15 to &lt;18 years). The prevalence of diagnosed parental mental illness increased from 8·62% (8·54–8·69) in 2006–09 up to 10·95% (10·86–11·03) in 2013–16. Children with any type of parental mental illness had markedly higher risk of socioeconomic adversity, such as living in poorer households or living separately from their parents. Interpretation: Currently, 11% of all Swedish children have a parent with a mental illness treated within secondary care. These children have markedly higher risk of broad socioeconomic adversity than do other children. There is a need to understand how socioeconomic adversity and parental mental illness influence vulnerability to poor life outcomes in these children. Funding: European Research Council, National Institute for Health Research, Region Stockholm, and the Sw…","author":[{"dropping-particle":"","family":"Pierce","given":"Matthias","non-dropping-particle":"","parse-names":false,"suffix":""},{"dropping-particle":"","family":"Abel","given":"Kathryn M.","non-dropping-particle":"","parse-names":false,"suffix":""},{"dropping-particle":"","family":"Muwonge","given":"Joseph","non-dropping-particle":"","parse-names":false,"suffix":""},{"dropping-particle":"","family":"Wicks","given":"Susanne","non-dropping-particle":"","parse-names":false,"suffix":""},{"dropping-particle":"","family":"Nevriana","given":"Alicia","non-dropping-particle":"","parse-names":false,"suffix":""},{"dropping-particle":"","family":"Hope","given":"Holly","non-dropping-particle":"","parse-names":false,"suffix":""},{"dropping-particle":"","family":"Dalman","given":"Christina","non-dropping-particle":"","parse-names":false,"suffix":""},{"dropping-particle":"","family":"Kosidou","given":"Kyriaki","non-dropping-particle":"","parse-names":false,"suffix":""}],"container-title":"The Lancet Public Health","id":"ITEM-1","issue":"11","issued":{"date-parts":[["2020"]]},"page":"e583-e591","publisher":"The Author(s). Published by Elsevier Ltd. This is an Open Access article under the CC BY-NC-ND 4.0 license","title":"Prevalence of parental mental illness and association with socioeconomic adversity among children in Sweden between 2006 and 2016: a population-based cohort study","type":"article-journal","volume":"5"},"uris":["http://www.mendeley.com/documents/?uuid=f5eaa976-79e6-4aab-a3bd-5ac6c925fcdc"]}],"mendeley":{"formattedCitation":"(Pierce et al., 2020)","plainTextFormattedCitation":"(Pierce et al., 2020)","previouslyFormattedCitation":"(Pierce et al., 2020)"},"properties":{"noteIndex":0},"schema":"https://github.com/citation-style-language/schema/raw/master/csl-citation.json"}</w:instrText>
      </w:r>
      <w:r w:rsidRPr="00AE7D7D">
        <w:rPr>
          <w:rFonts w:ascii="Book Antiqua" w:hAnsi="Book Antiqua"/>
        </w:rPr>
        <w:fldChar w:fldCharType="separate"/>
      </w:r>
      <w:r w:rsidRPr="00AE7D7D">
        <w:rPr>
          <w:rFonts w:ascii="Book Antiqua" w:hAnsi="Book Antiqua"/>
          <w:noProof/>
        </w:rPr>
        <w:t>(Pierce et al., 2020)</w:t>
      </w:r>
      <w:r w:rsidRPr="00AE7D7D">
        <w:rPr>
          <w:rFonts w:ascii="Book Antiqua" w:hAnsi="Book Antiqua"/>
        </w:rPr>
        <w:fldChar w:fldCharType="end"/>
      </w:r>
      <w:r w:rsidRPr="00AE7D7D">
        <w:rPr>
          <w:rFonts w:ascii="Book Antiqua" w:hAnsi="Book Antiqua"/>
        </w:rPr>
        <w:t xml:space="preserve">. Dukungan positif dapat memperkuat motivasi dalam mencapai keberhasilan hidupnya. Maka dari itu, ketika dilihat secara detail yang seharunya permalahan yang sering terjadi pada diri anak adalah karena cara pendidikan keluar kurang mampu membarikan kasih sayang penuh dari peran orang tuanya sehingga anak seperti kodratnya sebagai salah satu makhluk yang unik dengan potensi yang dimiliki </w:t>
      </w:r>
      <w:r w:rsidRPr="00AE7D7D">
        <w:rPr>
          <w:rFonts w:ascii="Book Antiqua" w:hAnsi="Book Antiqua"/>
        </w:rPr>
        <w:fldChar w:fldCharType="begin" w:fldLock="1"/>
      </w:r>
      <w:r w:rsidRPr="00AE7D7D">
        <w:rPr>
          <w:rFonts w:ascii="Book Antiqua" w:hAnsi="Book Antiqua"/>
        </w:rPr>
        <w:instrText>ADDIN CSL_CITATION {"citationItems":[{"id":"ITEM-1","itemData":{"DOI":"10.1016/j.ssmph.2020.100693","ISSN":"23528273","abstract":"Early childhood adversities are known to impair the development potential of children, however, there is limited evidence for the same in the Indian context. This study provides evidence of the effect of relevant biological and social risk factors during early childhood on the physical, cognitive and language development of Indian children. Panel data from two rounds of the India Human Development Survey (IHDS) was used to examine these associations among the Indian children. Using multivariable ordered logistic regression models, our study examined the association between the risk factors and the four indicators of development potential – stunting status, mathematical skill, reading skill, and writing skill. The results show that malnutrition and hostile community environment during early childhood impairs the physical development of children. The results also reveal that malnutrition, indoor air pollution, poor household sanitation condition, hostile community environment, lack of education among household adults, domestic violence on women in the community, and lack of autonomy among women in the household are the major biological and social risk factors that affect the cognitive and language development of Indian children.","author":[{"dropping-particle":"","family":"Paul","given":"Ronak","non-dropping-particle":"","parse-names":false,"suffix":""},{"dropping-particle":"","family":"Singh","given":"Abhishek","non-dropping-particle":"","parse-names":false,"suffix":""}],"container-title":"SSM - Population Health","id":"ITEM-1","issue":"August","issued":{"date-parts":[["2020"]]},"page":"100693","publisher":"Elsevier Ltd","title":"Does early childhood adversities affect physical, cognitive and language development in indian children? Evidence from a panel study","type":"article-journal","volume":"12"},"uris":["http://www.mendeley.com/documents/?uuid=9dbe0893-08b3-4cc9-96fe-0dcab9ff3096"]}],"mendeley":{"formattedCitation":"(Paul &amp; Singh, 2020)","plainTextFormattedCitation":"(Paul &amp; Singh, 2020)","previouslyFormattedCitation":"(Paul &amp; Singh, 2020)"},"properties":{"noteIndex":0},"schema":"https://github.com/citation-style-language/schema/raw/master/csl-citation.json"}</w:instrText>
      </w:r>
      <w:r w:rsidRPr="00AE7D7D">
        <w:rPr>
          <w:rFonts w:ascii="Book Antiqua" w:hAnsi="Book Antiqua"/>
        </w:rPr>
        <w:fldChar w:fldCharType="separate"/>
      </w:r>
      <w:r w:rsidRPr="00AE7D7D">
        <w:rPr>
          <w:rFonts w:ascii="Book Antiqua" w:hAnsi="Book Antiqua"/>
          <w:noProof/>
        </w:rPr>
        <w:t>(Paul &amp; Singh, 2020)</w:t>
      </w:r>
      <w:r w:rsidRPr="00AE7D7D">
        <w:rPr>
          <w:rFonts w:ascii="Book Antiqua" w:hAnsi="Book Antiqua"/>
        </w:rPr>
        <w:fldChar w:fldCharType="end"/>
      </w:r>
      <w:r w:rsidRPr="00AE7D7D">
        <w:rPr>
          <w:rFonts w:ascii="Book Antiqua" w:hAnsi="Book Antiqua"/>
        </w:rPr>
        <w:t xml:space="preserve">. </w:t>
      </w:r>
    </w:p>
    <w:p w14:paraId="564FE8D9" w14:textId="77777777" w:rsidR="00AE7D7D" w:rsidRPr="00AE7D7D" w:rsidRDefault="00AE7D7D" w:rsidP="00AE7D7D">
      <w:pPr>
        <w:spacing w:after="0"/>
        <w:ind w:firstLine="709"/>
        <w:jc w:val="both"/>
        <w:rPr>
          <w:rFonts w:ascii="Book Antiqua" w:hAnsi="Book Antiqua" w:cs="Times New Roman"/>
        </w:rPr>
      </w:pPr>
      <w:r w:rsidRPr="00AE7D7D">
        <w:rPr>
          <w:rFonts w:ascii="Book Antiqua" w:hAnsi="Book Antiqua" w:cs="Times New Roman"/>
        </w:rPr>
        <w:lastRenderedPageBreak/>
        <w:t xml:space="preserve">Kemudian pola asuh orang tua sebenarnya tidak hanya meningkatkan adversity siswa namun juga dapat meningkatkan motivasi belajar siswa. Karena motivasi adalah pendorong suatu usaha yang disadari untuk mempengaruhi tingkah laku seseorang agar seseorang tersebut menjadi tergerak hatinya untuk bertindak melakukan sesuatu sehingga mencapai hasil dan tujuan tertentu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{"citationItems":[{"id":"ITEM-1","itemData":{"author":[{"dropping-particle":"","family":"Samudra","given":"","non-dropping-particle":"","parse-names":false,"suffix":""}],"id":"ITEM-1","issue":"1","issued":{"date-parts":[["2016"]]},"page":"440-448","title":"Hubungan Motivasi Belajar dan Minat Belajar terhadap Prestasi Belajar Mahasiswa Mata Kuliah Pengantar Manajemen ( Studi kasus Mahasiswa Tingkat I EKM A Semester II )","type":"article-journal","volume":"5"},"uris":["http://www.mendeley.com/documents/?uuid=4b1d0561-5738-404f-add7-8d0c3a7f19db"]}],"mendeley":{"formattedCitation":"(Samudra, 2016)","plainTextFormattedCitation":"(Samudra, 2016)","previouslyFormattedCitation":"(Samudra, 2016)"},"properties":{"noteIndex":0},"schema":"https://github.com/citation-style-language/schema/raw/master/csl-citation.json"}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(Samudra, 2016)</w:t>
      </w:r>
      <w:r w:rsidRPr="00AE7D7D">
        <w:rPr>
          <w:rFonts w:ascii="Book Antiqua" w:hAnsi="Book Antiqua" w:cs="Times New Roman"/>
        </w:rPr>
        <w:fldChar w:fldCharType="end"/>
      </w:r>
      <w:r w:rsidRPr="00AE7D7D">
        <w:rPr>
          <w:rFonts w:ascii="Book Antiqua" w:hAnsi="Book Antiqua" w:cs="Times New Roman"/>
        </w:rPr>
        <w:t xml:space="preserve"> mengatakan bahwa motivasi adalah daya penggerak di dalam diri orang untuk melakukan aktivitas-aktivitas tertentu demi mencapai tujuan tertentu.Sering terjadi siswa yang kurang berprestasi bukan disebabkan oleh kemampuannya yang kurang, akan tetapi dikarenakan tidak adanya motivasi untuk belajar sehingga ia tidak berusaha untuk mengarahkan segala kemampuannya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{"citationItems":[{"id":"ITEM-1","itemData":{"author":[{"dropping-particle":"","family":"Sunarty","given":"Kustiah","non-dropping-particle":"","parse-names":false,"suffix":""}],"id":"ITEM-1","issue":"2","issued":{"date-parts":[["2016"]]},"page":"152-160","title":"Hubungan pola asuh orangtua dan kemandirian anak","type":"article-journal","volume":"2"},"uris":["http://www.mendeley.com/documents/?uuid=c74950bd-5f3c-4178-93b0-41c0ae12f038"]}],"mendeley":{"formattedCitation":"(Sunarty, 2016)","plainTextFormattedCitation":"(Sunarty, 2016)","previouslyFormattedCitation":"(Sunarty, 2016)"},"properties":{"noteIndex":0},"schema":"https://github.com/citation-style-language/schema/raw/master/csl-citation.json"}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(Sunarty, 2016)</w:t>
      </w:r>
      <w:r w:rsidRPr="00AE7D7D">
        <w:rPr>
          <w:rFonts w:ascii="Book Antiqua" w:hAnsi="Book Antiqua" w:cs="Times New Roman"/>
        </w:rPr>
        <w:fldChar w:fldCharType="end"/>
      </w:r>
      <w:r w:rsidRPr="00AE7D7D">
        <w:rPr>
          <w:rFonts w:ascii="Book Antiqua" w:hAnsi="Book Antiqua" w:cs="Times New Roman"/>
        </w:rPr>
        <w:t xml:space="preserve">. Dalam proses pembelajaran tradisional yang menggunakan pendekatan ekspositori kadang-kadang unsur motivasi terlupakan oleh guru. Guru seakan-akan memaksakan siswa menerima materi yang disampaikannya. Keadaan ini tidak menguntungkan karena siswa tidak dapat belajar secara optimal yang tentunya pencapaian hasil belajar juga tidak optimal. Kemudian pandangan moderen tentang proses pembelajaran menempatkan motivasi sebagai salah satu aspek penting dalam membangkitkan motivasi belajar siswa khususnya ditingkat anak usia dini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{"citationItems":[{"id":"ITEM-1","itemData":{"DOI":"10.1016/j.bpsc.2020.11.003","ISSN":"24519022","abstract":"Maternal childhood adversity associates with frontoamygdala connectivity in neonates, Biological Psychiatry: Cognitive Neuroscience and Neuroimaging (2020), doi: https://doi.org/10.1016/ j.bpsc.2020.11.003. This is a PDF file of an article that has undergone enhancements after acceptance, such as the addition of a cover page and metadata, and formatting for readability, but it is not yet the definitive version of record. This version will undergo additional copyediting, typesetting and review before it is published in its final form, but we are providing this version to give early visibility of the article. Please note that, during the production process, errors may be discovered which could affect the content, and all legal disclaimers that apply to the journal pertain.","author":[{"dropping-particle":"","family":"Hendrix","given":"Cassandra L.","non-dropping-particle":"","parse-names":false,"suffix":""},{"dropping-particle":"","family":"Dilks","given":"Daniel D.","non-dropping-particle":"","parse-names":false,"suffix":""},{"dropping-particle":"","family":"McKenna","given":"Brooke G.","non-dropping-particle":"","parse-names":false,"suffix":""},{"dropping-particle":"","family":"Dunlop","given":"Anne L.","non-dropping-particle":"","parse-names":false,"suffix":""},{"dropping-particle":"","family":"Corwin","given":"Elizabeth J.","non-dropping-particle":"","parse-names":false,"suffix":""},{"dropping-particle":"","family":"Brennan","given":"Patricia A.","non-dropping-particle":"","parse-names":false,"suffix":""}],"container-title":"Biological Psychiatry: Cognitive Neuroscience and Neuroimaging","id":"ITEM-1","issued":{"date-parts":[["2020"]]},"publisher":"Society of Biological Psychiatry","title":"Maternal childhood adversity associates with frontoamygdala connectivity in neonates","type":"article-journal"},"uris":["http://www.mendeley.com/documents/?uuid=be6009b8-0b70-4b1b-b118-ad9cbe4a4f5e"]}],"mendeley":{"formattedCitation":"(Hendrix et al., 2020)","plainTextFormattedCitation":"(Hendrix et al., 2020)","previouslyFormattedCitation":"(Hendrix et al., 2020)"},"properties":{"noteIndex":0},"schema":"https://github.com/citation-style-language/schema/raw/master/csl-citation.json"}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(Hendrix et al., 2020)</w:t>
      </w:r>
      <w:r w:rsidRPr="00AE7D7D">
        <w:rPr>
          <w:rFonts w:ascii="Book Antiqua" w:hAnsi="Book Antiqua" w:cs="Times New Roman"/>
        </w:rPr>
        <w:fldChar w:fldCharType="end"/>
      </w:r>
      <w:r w:rsidRPr="00AE7D7D">
        <w:rPr>
          <w:rFonts w:ascii="Book Antiqua" w:hAnsi="Book Antiqua" w:cs="Times New Roman"/>
        </w:rPr>
        <w:t>.</w:t>
      </w:r>
    </w:p>
    <w:p w14:paraId="52A4B5CE" w14:textId="77777777" w:rsidR="00AE7D7D" w:rsidRPr="00AE7D7D" w:rsidRDefault="00AE7D7D" w:rsidP="00AE7D7D">
      <w:pPr>
        <w:spacing w:after="0"/>
        <w:ind w:firstLine="709"/>
        <w:jc w:val="both"/>
        <w:rPr>
          <w:rFonts w:ascii="Book Antiqua" w:hAnsi="Book Antiqua" w:cs="Times New Roman"/>
        </w:rPr>
      </w:pPr>
      <w:r w:rsidRPr="00AE7D7D">
        <w:rPr>
          <w:rFonts w:ascii="Book Antiqua" w:hAnsi="Book Antiqua" w:cs="Times New Roman"/>
        </w:rPr>
        <w:t>Banyaknya faktor-faktor yang mempengaruhi motivasi dan dampaknya terhadap proses belajar siswa, maka perlu mengidentifikasi lebih jauh bagaimana gambaran mengenai motivasi dan faktor yang mempengaruhi selama proses pembelajaran. Dapat disadari bahwa motivasi belajar menjadi salah satau prioritas utama untuk terus ditumbuhkan kepada siswa dalam proses pembelajar di sekolah</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{"citationItems":[{"id":"ITEM-1","itemData":{"author":[{"dropping-particle":"","family":"Asri","given":"I G A A Sri","non-dropping-particle":"","parse-names":false,"suffix":""}],"id":"ITEM-1","issue":"1","issued":{"date-parts":[["2018"]]},"page":"1-9","title":"Hubungan Pola Asuh Terhadap Perkembangan Anak Usia Dini","type":"article-journal","volume":"2"},"uris":["http://www.mendeley.com/documents/?uuid=49230e80-0b4d-491c-b2d4-3e1fa0cf9cf1"]}],"mendeley":{"formattedCitation":"(Asri, 2018)","plainTextFormattedCitation":"(Asri, 2018)","previouslyFormattedCitation":"(Asri, 2018)"},"properties":{"noteIndex":0},"schema":"https://github.com/citation-style-language/schema/raw/master/csl-citation.json"}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(Asri, 2018)</w:t>
      </w:r>
      <w:r w:rsidRPr="00AE7D7D">
        <w:rPr>
          <w:rFonts w:ascii="Book Antiqua" w:hAnsi="Book Antiqua" w:cs="Times New Roman"/>
        </w:rPr>
        <w:fldChar w:fldCharType="end"/>
      </w:r>
      <w:r w:rsidRPr="00AE7D7D">
        <w:rPr>
          <w:rFonts w:ascii="Book Antiqua" w:hAnsi="Book Antiqua" w:cs="Times New Roman"/>
        </w:rPr>
        <w:t xml:space="preserve">. Karena pembelajaran daring ini sangat berpengaruh pada motivasi belajar siswa. Di dalam kondisi yang serba terbatas saat ini, dibutuhkan pemahaman dan kreatifitas guru dalam mengemas pembelajarann agar menarik perhataian dan motivasi siswa dalam mengikuti tahapan pembelajaran. Pemilihan pendekatan dan model pendekatan yang tepat, serta dukungan berbagai pihak menentukan keberhasilan pembelajaran. Semangat belajar yang dimiliki dapat meningkatkan motivasi belajar sehingga menghasilkan prestasi belajar. Motivasi belajar siswa merupakan sebuah penggerak atau pendorong yang membuat siswa akan tertarik terhadap proses pembelajaran secara terus-menerus dengan sitiuasi dan kondisi apapun yang terjadi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{"citationItems":[{"id":"ITEM-1","itemData":{"author":[{"dropping-particle":"","family":"Gunawan","given":"Harry","non-dropping-particle":"","parse-names":false,"suffix":""}],"id":"ITEM-1","issued":{"date-parts":[["2017"]]},"page":"1-15","title":"KELOMPOK B DI KELOMPOK BERMAIN DHARMA MULYA TENGGARONG SEBERANG","type":"article-journal"},"uris":["http://www.mendeley.com/documents/?uuid=d23281b5-ffae-4a44-9a2f-36b45c198fe3"]}],"mendeley":{"formattedCitation":"(Gunawan, 2017)","plainTextFormattedCitation":"(Gunawan, 2017)","previouslyFormattedCitation":"(Gunawan, 2017)"},"properties":{"noteIndex":0},"schema":"https://github.com/citation-style-language/schema/raw/master/csl-citation.json"}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(Gunawan, 2017)</w:t>
      </w:r>
      <w:r w:rsidRPr="00AE7D7D">
        <w:rPr>
          <w:rFonts w:ascii="Book Antiqua" w:hAnsi="Book Antiqua" w:cs="Times New Roman"/>
        </w:rPr>
        <w:fldChar w:fldCharType="end"/>
      </w:r>
      <w:r w:rsidRPr="00AE7D7D">
        <w:rPr>
          <w:rFonts w:ascii="Book Antiqua" w:hAnsi="Book Antiqua" w:cs="Times New Roman"/>
        </w:rPr>
        <w:t xml:space="preserve">. </w:t>
      </w:r>
    </w:p>
    <w:p w14:paraId="08647912" w14:textId="13DF8C09" w:rsidR="00AE7D7D" w:rsidRPr="00AE7D7D" w:rsidRDefault="00AE7D7D" w:rsidP="00AE7D7D">
      <w:pPr>
        <w:pStyle w:val="BodyText"/>
        <w:spacing w:after="0" w:line="240" w:lineRule="auto"/>
        <w:ind w:firstLine="709"/>
        <w:jc w:val="both"/>
        <w:rPr>
          <w:rFonts w:ascii="Book Antiqua" w:hAnsi="Book Antiqua" w:cs="Times New Roman"/>
        </w:rPr>
      </w:pPr>
      <w:r w:rsidRPr="00AE7D7D">
        <w:rPr>
          <w:rFonts w:ascii="Book Antiqua" w:hAnsi="Book Antiqua" w:cs="Times New Roman"/>
        </w:rPr>
        <w:t xml:space="preserve">Pola asuh orang tua dibedakan menjadi tiga yaitu pola asuh otoriter, pola asuh permissif dan pola asuh demokratis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{"citationItems":[{"id":"ITEM-1","itemData":{"DOI":"10.1016/j.paid.2020.110246","ISSN":"01918869","abstract":"Narcissism in females is under-theorized in the literature due to a predominant focus on grandiose features indicative of the male gender. This study aimed to investigate recalled parenting styles in the development of grandiose and vulnerable narcissism to enhance theoretical knowledge regarding gender differences in the personality construct. Based on previous research, it was hypothesized that strict parenting by the father would predict grandiose narcissism in males, and cold parenting by the mother would predict vulnerable narcissism in females. Participants (N = 328; 176 females) recruited from the normal population completed scales for grandiose and vulnerable narcissism, and perceived parenting styles. Results showed that females scored significantly higher on vulnerable narcissism than males, but no gender differences were found for grandiose narcissism. Findings linked retrospective reports of paternal overprotectiveness as a significant positive predictor of both grandiose and vulnerable narcissism in males; for females, recollections of maternal warmth significantly negatively predicted unique variance in vulnerable narcissism. Findings suggest that the interplay between parental styles and parent gender may be associated with different manifestations of narcissism in males and females. The theoretical implications of these findings are discussed and suggestions for future research made.","author":[{"dropping-particle":"","family":"Valashjardi","given":"Ava","non-dropping-particle":"","parse-names":false,"suffix":""},{"dropping-particle":"","family":"MacLean","given":"Rory","non-dropping-particle":"","parse-names":false,"suffix":""},{"dropping-particle":"","family":"Charles","given":"Kathy","non-dropping-particle":"","parse-names":false,"suffix":""}],"container-title":"Personality and Individual Differences","id":"ITEM-1","issue":"July","issued":{"date-parts":[["2020"]]},"page":"110246","publisher":"Elsevier","title":"Recollections of parenting styles in the development of narcissism: The role of gender","type":"article-journal","volume":"167"},"uris":["http://www.mendeley.com/documents/?uuid=7ae8471f-26d5-487d-b23e-7987e86d428b"]}],"mendeley":{"formattedCitation":"(Valashjardi et al., 2020)","plainTextFormattedCitation":"(Valashjardi et al., 2020)","previouslyFormattedCitation":"(Valashjardi et al., 2020)"},"properties":{"noteIndex":0},"schema":"https://github.com/citation-style-language/schema/raw/master/csl-citation.json"}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(Valashjardi et al., 2020)</w:t>
      </w:r>
      <w:r w:rsidRPr="00AE7D7D">
        <w:rPr>
          <w:rFonts w:ascii="Book Antiqua" w:hAnsi="Book Antiqua" w:cs="Times New Roman"/>
        </w:rPr>
        <w:fldChar w:fldCharType="end"/>
      </w:r>
      <w:r w:rsidRPr="00AE7D7D">
        <w:rPr>
          <w:rFonts w:ascii="Book Antiqua" w:hAnsi="Book Antiqua" w:cs="Times New Roman"/>
        </w:rPr>
        <w:t xml:space="preserve">. Pola asuh otoriter adalah orang tua yang mendidik anak dengan memperlihatkan ciri-ciri sebagai berikut: orang tua menerapkan peraturan yang ketat, tidak adanya kesempatan untuk mengemukakan pendapat, anak harus mematuhi segala peraturan yang dibuat oleh orang tua, berorientasi pada hukuman, dan orang tua jarang memberikan hadiah ataupun pujian. Pola asuh permissif memperlihatkan ciri-ciri sebagai berikut: orang tua cenderung memberikan kebebasan penuh pada anak tanpa ada batasan dan aturan dari orang tua, tidak adanya hadiah ataupun pujian meski anak berperilaku sosial baik, tidak adanya hukuman meski anak melanggar peraturan. Pola asuh orang tua yang otoriter yang selalu memberikan aturanaturan ketat terhadap anak, sering kali memaksa anak untuk berperilaku seperti dirinya dan selalu membatasi apapun yang dilakukan oleh anak sehingga anak akan mempunyai sifat ragu-ragu, tidak percaya diri, dan tidak sanggup mengambil keputusan sendiri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{"citationItems":[{"id":"ITEM-1","itemData":{"DOI":"10.1016/j.pedn.2020.10.009","ISSN":"08825963","abstract":"Purpose: Epilepsy affects both children and their parents, as it is a chronic disease with recurrent seizures. Parents play a key role in acceptance of the diagnosis of epilepsy by the child and compliance of the child with its treatment. Therefore, the perceptions and experiences of parents about this process are critical. The Epilepsy-Related Fears in Parents Questionnaire is one such instrument, and it has been used to measure the epilepsy-related fear experienced by parents who had children with epilepsy in Germany. This study aimed to analyze the psychometric properties of the Epilepsy-Related Fears in the Parents Questionnaire in Turkey. Design and methods: The study was conducted on 403 parents using a descriptive correlational method. The Sociodemographic Information Form and Epilepsy-Related Fears in Parents Questionnaire were used to gather data. Data analysis and evaluation were performed using factor analysis, Cronbach's alpha, and item–total score correlation. Results: Seventeen items were recorded on the main scale and other items on two subscales. The two subscales recorded a variance of 55.695%. Turkish Cronbach's alpha coefficient recorded a total of 0.929. Because of confirmatory factor analysis, the model fit index results were recorded as follows: 0.94 as the Goodness-of-Fit Index and 0.92 as the Comparative Fit Index. Conclusions: The study determined that the Turkish version of the Epilepsy-Related Fears in Parents Questionnaire was a valid and reliable measurement tool. Practice implications: All health professionals can use this scale to evaluate fears of parents who have children diagnosed with epilepsy.","author":[{"dropping-particle":"","family":"Yalçıntuğ","given":"Fulya Merve","non-dropping-particle":"","parse-names":false,"suffix":""},{"dropping-particle":"","family":"Ayar","given":"Dijle","non-dropping-particle":"","parse-names":false,"suffix":""}],"container-title":"Journal of Pediatric Nursing","id":"ITEM-1","issued":{"date-parts":[["2020"]]},"title":"Psychometric properties of the Turkish version of the epilepsy-related fears in parents questionnaire","type":"article-journal"},"uris":["http://www.mendeley.com/documents/?uuid=63599df6-10eb-4b40-9845-8a3b559b5d73"]}],"mendeley":{"formattedCitation":"(Yalçıntuğ &amp; Ayar, 2020)","plainTextFormattedCitation":"(Yalçıntuğ &amp; Ayar, 2020)","previouslyFormattedCitation":"(Yalçıntuğ &amp; Ayar, 2020)"},"properties":{"noteIndex":0},"schema":"https://github.com/citation-style-language/schema/raw/master/csl-citation.json"}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(Yalçıntuğ &amp; Ayar, 2020)</w:t>
      </w:r>
      <w:r w:rsidRPr="00AE7D7D">
        <w:rPr>
          <w:rFonts w:ascii="Book Antiqua" w:hAnsi="Book Antiqua" w:cs="Times New Roman"/>
        </w:rPr>
        <w:fldChar w:fldCharType="end"/>
      </w:r>
    </w:p>
    <w:p w14:paraId="41E84020" w14:textId="02753C60" w:rsidR="004843DB" w:rsidRPr="005474D6" w:rsidRDefault="004843DB" w:rsidP="00AE7D7D">
      <w:pPr>
        <w:pStyle w:val="BodyText"/>
        <w:tabs>
          <w:tab w:val="left" w:pos="426"/>
        </w:tabs>
        <w:spacing w:after="0" w:line="240" w:lineRule="auto"/>
        <w:jc w:val="both"/>
        <w:rPr>
          <w:rFonts w:ascii="Book Antiqua" w:hAnsi="Book Antiqua" w:cs="Times New Roman"/>
          <w:u w:val="single"/>
        </w:rPr>
      </w:pPr>
    </w:p>
    <w:p w14:paraId="2B3FFAF1" w14:textId="037D4792" w:rsidR="009B7C2C" w:rsidRPr="00AB089F" w:rsidRDefault="00A119AF" w:rsidP="009B7C2C">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Metodologi</w:t>
      </w:r>
      <w:r>
        <w:rPr>
          <w:rFonts w:ascii="Book Antiqua" w:hAnsi="Book Antiqua" w:cs="Times New Roman"/>
          <w:b/>
          <w:sz w:val="26"/>
          <w:szCs w:val="26"/>
        </w:rPr>
        <w:t xml:space="preserve"> </w:t>
      </w:r>
    </w:p>
    <w:p w14:paraId="08AC6A73" w14:textId="04CF242D" w:rsidR="00AE7D7D" w:rsidRPr="00AE7D7D" w:rsidRDefault="00AE7D7D" w:rsidP="00AE7D7D">
      <w:pPr>
        <w:spacing w:after="0" w:line="240" w:lineRule="auto"/>
        <w:ind w:firstLine="709"/>
        <w:jc w:val="both"/>
        <w:rPr>
          <w:rFonts w:ascii="Book Antiqua" w:hAnsi="Book Antiqua" w:cs="Times New Roman"/>
        </w:rPr>
      </w:pPr>
      <w:r w:rsidRPr="00AE7D7D">
        <w:rPr>
          <w:rFonts w:ascii="Book Antiqua" w:hAnsi="Book Antiqua" w:cs="Times New Roman"/>
        </w:rPr>
        <w:t xml:space="preserve">Pada penelitian ini menggunakan jenis penelitian kualitatif deskriptif untuk mengamati </w:t>
      </w:r>
      <w:r w:rsidRPr="00AE7D7D">
        <w:rPr>
          <w:rFonts w:ascii="Book Antiqua" w:eastAsia="Arial Unicode MS" w:hAnsi="Book Antiqua" w:cs="Times New Roman"/>
        </w:rPr>
        <w:t xml:space="preserve">pola asuh  orang tua sebagai upaya meningktkan adversity dan motivasi belajar siswa TK </w:t>
      </w:r>
      <w:proofErr w:type="spellStart"/>
      <w:r w:rsidRPr="00AE7D7D">
        <w:rPr>
          <w:rFonts w:ascii="Book Antiqua" w:eastAsia="Arial Unicode MS" w:hAnsi="Book Antiqua" w:cs="Times New Roman"/>
          <w:lang w:val="en-US"/>
        </w:rPr>
        <w:t>Aisyiyah</w:t>
      </w:r>
      <w:proofErr w:type="spellEnd"/>
      <w:r w:rsidRPr="00AE7D7D">
        <w:rPr>
          <w:rFonts w:ascii="Book Antiqua" w:eastAsia="Arial Unicode MS" w:hAnsi="Book Antiqua" w:cs="Times New Roman"/>
          <w:lang w:val="en-US"/>
        </w:rPr>
        <w:t xml:space="preserve"> 5</w:t>
      </w:r>
      <w:r w:rsidR="00EF4E84">
        <w:rPr>
          <w:rFonts w:ascii="Book Antiqua" w:eastAsia="Arial Unicode MS" w:hAnsi="Book Antiqua" w:cs="Times New Roman"/>
          <w:lang w:val="en-US"/>
        </w:rPr>
        <w:t>8</w:t>
      </w:r>
      <w:r w:rsidRPr="00AE7D7D">
        <w:rPr>
          <w:rFonts w:ascii="Book Antiqua" w:eastAsia="Arial Unicode MS" w:hAnsi="Book Antiqua" w:cs="Times New Roman"/>
          <w:lang w:val="en-US"/>
        </w:rPr>
        <w:t xml:space="preserve"> Surabaya</w:t>
      </w:r>
      <w:r w:rsidRPr="00AE7D7D">
        <w:rPr>
          <w:rFonts w:ascii="Book Antiqua" w:eastAsia="Arial Unicode MS" w:hAnsi="Book Antiqua" w:cs="Times New Roman"/>
        </w:rPr>
        <w:t xml:space="preserve">. </w:t>
      </w:r>
      <w:r w:rsidRPr="00AE7D7D">
        <w:rPr>
          <w:rFonts w:ascii="Book Antiqua" w:hAnsi="Book Antiqua" w:cs="Times New Roman"/>
        </w:rPr>
        <w:t xml:space="preserve">Karena penelitian kualitatif merupakan penelitian yang menggunakan latar alamiah, dengan maksud menafsirkan fenomena yang terjadi dan </w:t>
      </w:r>
      <w:r w:rsidRPr="00AE7D7D">
        <w:rPr>
          <w:rFonts w:ascii="Book Antiqua" w:hAnsi="Book Antiqua" w:cs="Times New Roman"/>
        </w:rPr>
        <w:lastRenderedPageBreak/>
        <w:t xml:space="preserve">dilakukan dengan jalan melibatkan berbagai metode yang ada </w:t>
      </w:r>
      <w:r w:rsidRPr="00AE7D7D">
        <w:rPr>
          <w:rFonts w:ascii="Book Antiqua" w:hAnsi="Book Antiqua" w:cs="Times New Roman"/>
        </w:rPr>
        <w:fldChar w:fldCharType="begin" w:fldLock="1"/>
      </w:r>
      <w:r w:rsidRPr="00AE7D7D">
        <w:rPr>
          <w:rFonts w:ascii="Book Antiqua" w:hAnsi="Book Antiqua" w:cs="Times New Roman"/>
        </w:rPr>
        <w:instrText>ADDIN CSL_CITATION {"citationItems":[{"id":"ITEM-1","itemData":{"author":[{"dropping-particle":"","family":"Lantanida","given":"","non-dropping-particle":"","parse-names":false,"suffix":""}],"id":"ITEM-1","issue":"2","issued":{"date-parts":[["2017"]]},"title":"Lantanida Journal,","type":"article-journal","volume":"5"},"uris":["http://www.mendeley.com/documents/?uuid=1e99d924-9208-4c49-ab63-3600c881d86c"]}],"mendeley":{"formattedCitation":"(Lantanida, 2017)","plainTextFormattedCitation":"(Lantanida, 2017)","previouslyFormattedCitation":"(Lantanida, 2017)"},"properties":{"noteIndex":0},"schema":"https://github.com/citation-style-language/schema/raw/master/csl-citation.json"}</w:instrText>
      </w:r>
      <w:r w:rsidRPr="00AE7D7D">
        <w:rPr>
          <w:rFonts w:ascii="Book Antiqua" w:hAnsi="Book Antiqua" w:cs="Times New Roman"/>
        </w:rPr>
        <w:fldChar w:fldCharType="separate"/>
      </w:r>
      <w:r w:rsidRPr="00AE7D7D">
        <w:rPr>
          <w:rFonts w:ascii="Book Antiqua" w:hAnsi="Book Antiqua" w:cs="Times New Roman"/>
          <w:noProof/>
        </w:rPr>
        <w:t>(Lantanida, 2017)</w:t>
      </w:r>
      <w:r w:rsidRPr="00AE7D7D">
        <w:rPr>
          <w:rFonts w:ascii="Book Antiqua" w:hAnsi="Book Antiqua" w:cs="Times New Roman"/>
        </w:rPr>
        <w:fldChar w:fldCharType="end"/>
      </w:r>
      <w:r w:rsidRPr="00AE7D7D">
        <w:rPr>
          <w:rFonts w:ascii="Book Antiqua" w:hAnsi="Book Antiqua" w:cs="Times New Roman"/>
        </w:rPr>
        <w:t xml:space="preserve">. Sebagai temapat penelitian dalam tugas akhir ini, peneliti menggunakan sekolah TK </w:t>
      </w:r>
      <w:proofErr w:type="spellStart"/>
      <w:r w:rsidRPr="00AE7D7D">
        <w:rPr>
          <w:rFonts w:ascii="Book Antiqua" w:eastAsia="Arial Unicode MS" w:hAnsi="Book Antiqua" w:cs="Times New Roman"/>
          <w:lang w:val="en-US"/>
        </w:rPr>
        <w:t>Aisyiyah</w:t>
      </w:r>
      <w:proofErr w:type="spellEnd"/>
      <w:r w:rsidRPr="00AE7D7D">
        <w:rPr>
          <w:rFonts w:ascii="Book Antiqua" w:eastAsia="Arial Unicode MS" w:hAnsi="Book Antiqua" w:cs="Times New Roman"/>
          <w:lang w:val="en-US"/>
        </w:rPr>
        <w:t xml:space="preserve"> 5</w:t>
      </w:r>
      <w:r w:rsidR="004843DB">
        <w:rPr>
          <w:rFonts w:ascii="Book Antiqua" w:eastAsia="Arial Unicode MS" w:hAnsi="Book Antiqua" w:cs="Times New Roman"/>
          <w:lang w:val="en-US"/>
        </w:rPr>
        <w:t>8</w:t>
      </w:r>
      <w:r w:rsidRPr="00AE7D7D">
        <w:rPr>
          <w:rFonts w:ascii="Book Antiqua" w:eastAsia="Arial Unicode MS" w:hAnsi="Book Antiqua" w:cs="Times New Roman"/>
          <w:lang w:val="en-US"/>
        </w:rPr>
        <w:t>Surabaya</w:t>
      </w:r>
      <w:r>
        <w:rPr>
          <w:rFonts w:ascii="Book Antiqua" w:eastAsia="Arial Unicode MS" w:hAnsi="Book Antiqua" w:cs="Times New Roman"/>
          <w:lang w:val="en-US"/>
        </w:rPr>
        <w:t xml:space="preserve"> </w:t>
      </w:r>
      <w:proofErr w:type="spellStart"/>
      <w:r>
        <w:rPr>
          <w:rFonts w:ascii="Book Antiqua" w:eastAsia="Arial Unicode MS" w:hAnsi="Book Antiqua" w:cs="Times New Roman"/>
          <w:lang w:val="en-US"/>
        </w:rPr>
        <w:t>kota</w:t>
      </w:r>
      <w:proofErr w:type="spellEnd"/>
      <w:r>
        <w:rPr>
          <w:rFonts w:ascii="Book Antiqua" w:eastAsia="Arial Unicode MS" w:hAnsi="Book Antiqua" w:cs="Times New Roman"/>
          <w:lang w:val="en-US"/>
        </w:rPr>
        <w:t xml:space="preserve"> Surabaya</w:t>
      </w:r>
      <w:r w:rsidRPr="00AE7D7D">
        <w:rPr>
          <w:rFonts w:ascii="Book Antiqua" w:eastAsia="Arial Unicode MS" w:hAnsi="Book Antiqua" w:cs="Times New Roman"/>
        </w:rPr>
        <w:t xml:space="preserve">. </w:t>
      </w:r>
      <w:r w:rsidRPr="00AE7D7D">
        <w:rPr>
          <w:rFonts w:ascii="Book Antiqua" w:hAnsi="Book Antiqua" w:cs="Times New Roman"/>
        </w:rPr>
        <w:t xml:space="preserve">Dalam sebuah penelitian dibutuhkan instrumen untuk mendapatkan data yang valid. </w:t>
      </w:r>
    </w:p>
    <w:p w14:paraId="597C6437" w14:textId="77777777" w:rsidR="00AE7D7D" w:rsidRPr="00AE7D7D" w:rsidRDefault="00AE7D7D" w:rsidP="00AE7D7D">
      <w:pPr>
        <w:spacing w:after="0" w:line="240" w:lineRule="auto"/>
        <w:ind w:firstLine="709"/>
        <w:jc w:val="both"/>
        <w:rPr>
          <w:rFonts w:ascii="Book Antiqua" w:hAnsi="Book Antiqua" w:cs="Times New Roman"/>
          <w:noProof/>
        </w:rPr>
      </w:pPr>
      <w:r w:rsidRPr="00AE7D7D">
        <w:rPr>
          <w:rFonts w:ascii="Book Antiqua" w:hAnsi="Book Antiqua" w:cs="Times New Roman"/>
        </w:rPr>
        <w:t xml:space="preserve">Dalam penelitian kualitatif yang menjadi instrumen penelitian atau alat penelitian adalah peneliti itu sendiri. Kemudian peneliti bertindak sebagai pengumpul data dan sebagai instrumen aktif dalam upaya mengumpulkan data di lapangan dengan menggunakan pedoman observasi, wawancara, wawancara dan </w:t>
      </w:r>
      <w:r w:rsidRPr="00AE7D7D">
        <w:rPr>
          <w:rFonts w:ascii="Book Antiqua" w:hAnsi="Book Antiqua" w:cs="Times New Roman"/>
          <w:i/>
        </w:rPr>
        <w:t>Audio Visual</w:t>
      </w:r>
      <w:r w:rsidRPr="00AE7D7D">
        <w:rPr>
          <w:rFonts w:ascii="Book Antiqua" w:hAnsi="Book Antiqua" w:cs="Times New Roman"/>
        </w:rPr>
        <w:t xml:space="preserve">. Oleh karena itu peneliti harus bersikap responsif terhadap subjek dan objek penelitian, sehingga data penelitian yang diperoleh dapat fokus dan sesuai dengan tujuan yang telah ditentukan. </w:t>
      </w:r>
      <w:r w:rsidRPr="00AE7D7D">
        <w:rPr>
          <w:rFonts w:ascii="Book Antiqua" w:hAnsi="Book Antiqua" w:cs="Times New Roman"/>
          <w:noProof/>
        </w:rPr>
        <w:t xml:space="preserve">Data sumber data penelitian ini mengambil informan sumber data dengan mempertimbangkan data tertentu dari pihak – pihak yang akan diteliti. </w:t>
      </w:r>
    </w:p>
    <w:p w14:paraId="141D72CA" w14:textId="241684EC" w:rsidR="00AE7D7D" w:rsidRPr="00AE7D7D" w:rsidRDefault="00AE7D7D" w:rsidP="00AE7D7D">
      <w:pPr>
        <w:spacing w:after="0" w:line="240" w:lineRule="auto"/>
        <w:ind w:firstLine="709"/>
        <w:jc w:val="both"/>
        <w:rPr>
          <w:rFonts w:ascii="Book Antiqua" w:hAnsi="Book Antiqua" w:cs="Times New Roman"/>
        </w:rPr>
      </w:pPr>
      <w:r w:rsidRPr="00AE7D7D">
        <w:rPr>
          <w:rFonts w:ascii="Book Antiqua" w:hAnsi="Book Antiqua" w:cs="Times New Roman"/>
          <w:noProof/>
        </w:rPr>
        <w:t xml:space="preserve">Maka peneliti akan melakukan observasi, wawancara dan dokumentasi kepada orang-orang yang dipandang sebagai objek penelitian. Adapun yang dijadikan objek penelitian adalah orang tua, guru, kepala sekolah dan siswa </w:t>
      </w:r>
      <w:r w:rsidR="00C04977" w:rsidRPr="00AE7D7D">
        <w:rPr>
          <w:rFonts w:ascii="Book Antiqua" w:eastAsia="Arial Unicode MS" w:hAnsi="Book Antiqua" w:cs="Times New Roman"/>
        </w:rPr>
        <w:t xml:space="preserve">TK </w:t>
      </w:r>
      <w:proofErr w:type="spellStart"/>
      <w:r w:rsidR="00C04977" w:rsidRPr="00AE7D7D">
        <w:rPr>
          <w:rFonts w:ascii="Book Antiqua" w:eastAsia="Arial Unicode MS" w:hAnsi="Book Antiqua" w:cs="Times New Roman"/>
          <w:lang w:val="en-US"/>
        </w:rPr>
        <w:t>Aisyiyah</w:t>
      </w:r>
      <w:proofErr w:type="spellEnd"/>
      <w:r w:rsidR="00C04977" w:rsidRPr="00AE7D7D">
        <w:rPr>
          <w:rFonts w:ascii="Book Antiqua" w:eastAsia="Arial Unicode MS" w:hAnsi="Book Antiqua" w:cs="Times New Roman"/>
          <w:lang w:val="en-US"/>
        </w:rPr>
        <w:t xml:space="preserve"> 5</w:t>
      </w:r>
      <w:r w:rsidR="00EF4E84">
        <w:rPr>
          <w:rFonts w:ascii="Book Antiqua" w:eastAsia="Arial Unicode MS" w:hAnsi="Book Antiqua" w:cs="Times New Roman"/>
          <w:lang w:val="en-US"/>
        </w:rPr>
        <w:t xml:space="preserve">8 </w:t>
      </w:r>
      <w:r w:rsidR="00C04977" w:rsidRPr="00AE7D7D">
        <w:rPr>
          <w:rFonts w:ascii="Book Antiqua" w:eastAsia="Arial Unicode MS" w:hAnsi="Book Antiqua" w:cs="Times New Roman"/>
          <w:lang w:val="en-US"/>
        </w:rPr>
        <w:t>Surabaya</w:t>
      </w:r>
      <w:r w:rsidRPr="00AE7D7D">
        <w:rPr>
          <w:rFonts w:ascii="Book Antiqua" w:eastAsia="Arial Unicode MS" w:hAnsi="Book Antiqua" w:cs="Times New Roman"/>
        </w:rPr>
        <w:t xml:space="preserve">. </w:t>
      </w:r>
      <w:r w:rsidRPr="00AE7D7D">
        <w:rPr>
          <w:rFonts w:ascii="Book Antiqua" w:hAnsi="Book Antiqua" w:cs="Times New Roman"/>
          <w:noProof/>
        </w:rPr>
        <w:t>Pada teknik pengumpulan data, peneliti melakukan berbagai hal yang dilakukan dalam penelitian diantaranya adalah: Observasi, yaitu peneliti turun langsung ke lapangan untuk mengamati perilaku dan aktivitas individu-individu di lokasi penelitian. Wawancara, yaitu peneliti melakukan face-to-face interview (wawancara berhadap-hadapan) dengan partisipan. Dokumen, dokumen ini bisa berupa dokumen publik atau dokumen sekolah yang ada kaitannya dengan fokus penelitian yang dilakukan. Audio dan visual, data ini berupa objek foto, video, dan segala jenis suara atau buny</w:t>
      </w:r>
      <w:r w:rsidRPr="00AE7D7D">
        <w:rPr>
          <w:rFonts w:ascii="Book Antiqua" w:hAnsi="Book Antiqua" w:cs="Times New Roman"/>
          <w:noProof/>
          <w:lang w:val="en-GB"/>
        </w:rPr>
        <w:t xml:space="preserve">i. </w:t>
      </w:r>
    </w:p>
    <w:p w14:paraId="48C97CEF" w14:textId="77777777" w:rsidR="00AE7D7D" w:rsidRPr="00AE7D7D" w:rsidRDefault="00AE7D7D" w:rsidP="00AE7D7D">
      <w:pPr>
        <w:spacing w:after="0" w:line="240" w:lineRule="auto"/>
        <w:ind w:firstLine="709"/>
        <w:jc w:val="both"/>
        <w:rPr>
          <w:rFonts w:ascii="Book Antiqua" w:hAnsi="Book Antiqua" w:cs="Times New Roman"/>
          <w:noProof/>
        </w:rPr>
      </w:pPr>
      <w:r w:rsidRPr="00AE7D7D">
        <w:rPr>
          <w:rFonts w:ascii="Book Antiqua" w:hAnsi="Book Antiqua" w:cs="Times New Roman"/>
          <w:noProof/>
        </w:rPr>
        <w:t xml:space="preserve">Aktivitas dalam analisis data kualitatif dilakukan secara interaktif dan berlangsung terus menerus samapi tuntas, hingga datanya jenuh. Aktivitas tersebut adalah reduksi  data (data reduction), penyajian data (data display) dan conclusion drawing/verification. Dapat dijelaskan dibawah ini yaitu: Reduksi data, mereduksi data berarti merangkum, memilih hal-hal yang pokok, memfokuskan pada hal-hal yang penting, dicari tema dan polanya. Dengan demikian data yang telah direduksi akan memberikan gambaran yang lebih jelas. Display data, bahwa yang sering digunakan untuk menyajikan data dalam penelitian kualitatif adalah teks bersifat naratif. Verifikasi data, Penariakan dan kesimpulan dan Kesimpulan mungkin dapat menjawab rumusan masalah yang dirumuskan sejak awal, tetapi mungkin juga tidak.  </w:t>
      </w:r>
      <w:r w:rsidRPr="00AE7D7D">
        <w:rPr>
          <w:rFonts w:ascii="Book Antiqua" w:hAnsi="Book Antiqua" w:cs="Times New Roman"/>
        </w:rPr>
        <w:t xml:space="preserve">Teknik pemeriksaan keabsahan data yang digunakan dalam penelitian ini adalah teknik Triangulasi. </w:t>
      </w:r>
    </w:p>
    <w:p w14:paraId="0F93630A" w14:textId="77777777" w:rsidR="00083B2C" w:rsidRPr="005474D6" w:rsidRDefault="00083B2C" w:rsidP="00083B2C">
      <w:pPr>
        <w:pStyle w:val="BodyText"/>
        <w:tabs>
          <w:tab w:val="left" w:pos="426"/>
        </w:tabs>
        <w:spacing w:after="0" w:line="240" w:lineRule="auto"/>
        <w:jc w:val="both"/>
        <w:rPr>
          <w:rFonts w:ascii="Book Antiqua" w:hAnsi="Book Antiqua" w:cs="Times New Roman"/>
        </w:rPr>
      </w:pPr>
    </w:p>
    <w:p w14:paraId="796664A7" w14:textId="26562E38" w:rsidR="00AB089F" w:rsidRPr="00AB089F" w:rsidRDefault="00A119AF" w:rsidP="00AB089F">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 xml:space="preserve">Hasil </w:t>
      </w:r>
      <w:r>
        <w:rPr>
          <w:rFonts w:ascii="Book Antiqua" w:hAnsi="Book Antiqua" w:cs="Times New Roman"/>
          <w:b/>
          <w:sz w:val="26"/>
          <w:szCs w:val="26"/>
        </w:rPr>
        <w:t>d</w:t>
      </w:r>
      <w:r w:rsidRPr="009B7C2C">
        <w:rPr>
          <w:rFonts w:ascii="Book Antiqua" w:hAnsi="Book Antiqua" w:cs="Times New Roman"/>
          <w:b/>
          <w:sz w:val="26"/>
          <w:szCs w:val="26"/>
        </w:rPr>
        <w:t>an Pembahasan</w:t>
      </w:r>
      <w:r>
        <w:rPr>
          <w:rFonts w:ascii="Book Antiqua" w:hAnsi="Book Antiqua" w:cs="Times New Roman"/>
          <w:b/>
          <w:sz w:val="26"/>
          <w:szCs w:val="26"/>
        </w:rPr>
        <w:t xml:space="preserve"> </w:t>
      </w:r>
    </w:p>
    <w:p w14:paraId="17F55CC0" w14:textId="648FB277" w:rsidR="00C04977" w:rsidRPr="00C04977" w:rsidRDefault="00C04977" w:rsidP="00C04977">
      <w:pPr>
        <w:spacing w:after="0"/>
        <w:ind w:firstLine="709"/>
        <w:jc w:val="both"/>
        <w:rPr>
          <w:rFonts w:ascii="Book Antiqua" w:hAnsi="Book Antiqua" w:cs="Times New Roman"/>
        </w:rPr>
      </w:pPr>
      <w:r w:rsidRPr="00C04977">
        <w:rPr>
          <w:rFonts w:ascii="Book Antiqua" w:hAnsi="Book Antiqua" w:cs="Times New Roman"/>
          <w:bCs/>
        </w:rPr>
        <w:t xml:space="preserve">Sesuai hasil observasi yang dilakukan bahwa </w:t>
      </w:r>
      <w:r w:rsidRPr="00C04977">
        <w:rPr>
          <w:rFonts w:ascii="Book Antiqua" w:hAnsi="Book Antiqua" w:cs="Times New Roman"/>
        </w:rPr>
        <w:t xml:space="preserve">yang meliputi pola asuh orang tua sebagai upaya meningkatkan adversity dan motivasi belajar siswa </w:t>
      </w:r>
      <w:r w:rsidR="00EF4E84" w:rsidRPr="00C04977">
        <w:rPr>
          <w:rFonts w:ascii="Book Antiqua" w:hAnsi="Book Antiqua" w:cs="Times New Roman"/>
        </w:rPr>
        <w:t xml:space="preserve">TK </w:t>
      </w:r>
      <w:proofErr w:type="spellStart"/>
      <w:r w:rsidR="00EF4E84">
        <w:rPr>
          <w:rFonts w:ascii="Book Antiqua" w:eastAsia="Arial Unicode MS" w:hAnsi="Book Antiqua" w:cs="Times New Roman"/>
          <w:lang w:val="en-US"/>
        </w:rPr>
        <w:t>Aisyiyah</w:t>
      </w:r>
      <w:proofErr w:type="spellEnd"/>
      <w:r w:rsidR="00EF4E84">
        <w:rPr>
          <w:rFonts w:ascii="Book Antiqua" w:eastAsia="Arial Unicode MS" w:hAnsi="Book Antiqua" w:cs="Times New Roman"/>
          <w:lang w:val="en-US"/>
        </w:rPr>
        <w:t xml:space="preserve"> 58 Surabaya</w:t>
      </w:r>
      <w:r w:rsidRPr="00C04977">
        <w:rPr>
          <w:rFonts w:ascii="Book Antiqua" w:eastAsia="Arial Unicode MS" w:hAnsi="Book Antiqua" w:cs="Times New Roman"/>
        </w:rPr>
        <w:t xml:space="preserve"> dikatakan dapat berhasil. Sesuai data yang ditemukan bahwa orang tua memiliki peran yang sangat penting dalam upaya meningkatkan adversity siswa serta siswa dengan otoritas orang tua dengan daya dan upayanya dapat memberikan dampak pada peningkatan motivasi belajar siswa TK. Karena orang tua dengan pola asuhnya yang digunakan </w:t>
      </w:r>
      <w:r w:rsidRPr="00C04977">
        <w:rPr>
          <w:rFonts w:ascii="Book Antiqua" w:hAnsi="Book Antiqua" w:cs="Times New Roman"/>
        </w:rPr>
        <w:t xml:space="preserve">secara khusus ada tiga jenis pola asuh yang sering dilakuakan orang tua yaitu secara otoritatif,  otoritarian  dan  permisif. Adversity dan motivasi belajar akan menjadi bagian terperting dalam meraih keberhasilan siswa. Keberhasilan proses pembelajaran tidak lain dipengaruhi oleh adversity dan motivasi belajar siswa. Guru dan orang tua selaku pendidik perlu mendorong siswa untuk belajar dalam mencapai tujuan yang diinginkan. </w:t>
      </w:r>
    </w:p>
    <w:p w14:paraId="3AF3ECB8" w14:textId="06C2E9C5" w:rsidR="00C04977" w:rsidRDefault="00C04977" w:rsidP="00C04977">
      <w:pPr>
        <w:spacing w:after="0"/>
        <w:ind w:firstLine="709"/>
        <w:jc w:val="both"/>
        <w:rPr>
          <w:rFonts w:ascii="Book Antiqua" w:hAnsi="Book Antiqua" w:cs="Times New Roman"/>
        </w:rPr>
      </w:pPr>
      <w:r w:rsidRPr="00C04977">
        <w:rPr>
          <w:rFonts w:ascii="Book Antiqua" w:hAnsi="Book Antiqua" w:cs="Times New Roman"/>
        </w:rPr>
        <w:t xml:space="preserve">Pada saat observasi langsug kelapangan dengan melihat pola asuh orang tua sangat menjadi penting dalam upaya mendidik anak usia dini sehingga dapat terkontrol belajarnya dan menghindari dari ketakutan – ketakutan yang dialami oleh siswa. Dalam kondisi yang serba online sekarang ini, sangat dibutuhkan kreatifitas orang tua dalam mendampingi anak </w:t>
      </w:r>
      <w:r w:rsidRPr="00C04977">
        <w:rPr>
          <w:rFonts w:ascii="Book Antiqua" w:hAnsi="Book Antiqua" w:cs="Times New Roman"/>
        </w:rPr>
        <w:lastRenderedPageBreak/>
        <w:t xml:space="preserve">– anaknya dalam mengikuti pembelajaran yang dilakukan secara daring (online). Terutama orang tua perempuan yang harus menjadi garda terdepan dalam memfasilitasi anaknya untuk mengikuti pembelajaran. Anak usia dini diibaratkan seperti bejana kosong yang masih sangat labil dalam segala hal. Sesuai dengan pepatah yang sering diungkapkan oleh banyak orang bahwa, mendidik anak usia dini itu bagaikan mengukir diatas batu. Maka maksud dari itu adalah apapun yang diberikan kepada anak usia dini akan direkam dalam dirinya, sehingga akan terbentuk dalam berbagai hal. </w:t>
      </w:r>
    </w:p>
    <w:p w14:paraId="7E8EE53B" w14:textId="5C63862D" w:rsidR="003109D7" w:rsidRDefault="003109D7" w:rsidP="003109D7">
      <w:pPr>
        <w:spacing w:after="0"/>
        <w:jc w:val="center"/>
        <w:rPr>
          <w:rFonts w:ascii="Book Antiqua" w:eastAsia="Arial Unicode MS" w:hAnsi="Book Antiqua" w:cs="Times New Roman"/>
          <w:lang w:val="en-US"/>
        </w:rPr>
      </w:pPr>
      <w:r>
        <w:rPr>
          <w:rFonts w:ascii="Book Antiqua" w:hAnsi="Book Antiqua" w:cs="Times New Roman"/>
          <w:lang w:val="en-US"/>
        </w:rPr>
        <w:t xml:space="preserve">Tabel 1. </w:t>
      </w:r>
      <w:proofErr w:type="spellStart"/>
      <w:r>
        <w:rPr>
          <w:rFonts w:ascii="Book Antiqua" w:hAnsi="Book Antiqua" w:cs="Times New Roman"/>
          <w:lang w:val="en-US"/>
        </w:rPr>
        <w:t>Jumlah</w:t>
      </w:r>
      <w:proofErr w:type="spellEnd"/>
      <w:r>
        <w:rPr>
          <w:rFonts w:ascii="Book Antiqua" w:hAnsi="Book Antiqua" w:cs="Times New Roman"/>
          <w:lang w:val="en-US"/>
        </w:rPr>
        <w:t xml:space="preserve"> </w:t>
      </w:r>
      <w:proofErr w:type="spellStart"/>
      <w:r>
        <w:rPr>
          <w:rFonts w:ascii="Book Antiqua" w:hAnsi="Book Antiqua" w:cs="Times New Roman"/>
          <w:lang w:val="en-US"/>
        </w:rPr>
        <w:t>siswa</w:t>
      </w:r>
      <w:proofErr w:type="spellEnd"/>
      <w:r>
        <w:rPr>
          <w:rFonts w:ascii="Book Antiqua" w:hAnsi="Book Antiqua" w:cs="Times New Roman"/>
          <w:lang w:val="en-US"/>
        </w:rPr>
        <w:t xml:space="preserve"> TK </w:t>
      </w:r>
      <w:proofErr w:type="spellStart"/>
      <w:r>
        <w:rPr>
          <w:rFonts w:ascii="Book Antiqua" w:eastAsia="Arial Unicode MS" w:hAnsi="Book Antiqua" w:cs="Times New Roman"/>
          <w:lang w:val="en-US"/>
        </w:rPr>
        <w:t>Aisyiyah</w:t>
      </w:r>
      <w:proofErr w:type="spellEnd"/>
      <w:r>
        <w:rPr>
          <w:rFonts w:ascii="Book Antiqua" w:eastAsia="Arial Unicode MS" w:hAnsi="Book Antiqua" w:cs="Times New Roman"/>
          <w:lang w:val="en-US"/>
        </w:rPr>
        <w:t xml:space="preserve"> 58 Surabaya</w:t>
      </w:r>
    </w:p>
    <w:tbl>
      <w:tblPr>
        <w:tblStyle w:val="TableGrid"/>
        <w:tblW w:w="0" w:type="auto"/>
        <w:tblInd w:w="198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693"/>
        <w:gridCol w:w="1843"/>
      </w:tblGrid>
      <w:tr w:rsidR="003109D7" w14:paraId="69597F61" w14:textId="77777777" w:rsidTr="003109D7">
        <w:tc>
          <w:tcPr>
            <w:tcW w:w="567" w:type="dxa"/>
            <w:tcBorders>
              <w:top w:val="single" w:sz="4" w:space="0" w:color="auto"/>
              <w:bottom w:val="single" w:sz="4" w:space="0" w:color="auto"/>
            </w:tcBorders>
          </w:tcPr>
          <w:p w14:paraId="75F12B67" w14:textId="0A7388DB" w:rsidR="003109D7" w:rsidRPr="003109D7" w:rsidRDefault="003109D7" w:rsidP="003109D7">
            <w:pPr>
              <w:spacing w:after="0"/>
              <w:jc w:val="center"/>
              <w:rPr>
                <w:rFonts w:ascii="Book Antiqua" w:hAnsi="Book Antiqua" w:cs="Times New Roman"/>
                <w:b/>
                <w:bCs/>
                <w:lang w:val="en-US"/>
              </w:rPr>
            </w:pPr>
            <w:r w:rsidRPr="003109D7">
              <w:rPr>
                <w:rFonts w:ascii="Book Antiqua" w:hAnsi="Book Antiqua" w:cs="Times New Roman"/>
                <w:b/>
                <w:bCs/>
                <w:lang w:val="en-US"/>
              </w:rPr>
              <w:t>No</w:t>
            </w:r>
          </w:p>
        </w:tc>
        <w:tc>
          <w:tcPr>
            <w:tcW w:w="2693" w:type="dxa"/>
            <w:tcBorders>
              <w:top w:val="single" w:sz="4" w:space="0" w:color="auto"/>
              <w:bottom w:val="single" w:sz="4" w:space="0" w:color="auto"/>
            </w:tcBorders>
          </w:tcPr>
          <w:p w14:paraId="401B14D7" w14:textId="2A21B9A6" w:rsidR="003109D7" w:rsidRPr="003109D7" w:rsidRDefault="003109D7" w:rsidP="003109D7">
            <w:pPr>
              <w:spacing w:after="0"/>
              <w:jc w:val="center"/>
              <w:rPr>
                <w:rFonts w:ascii="Book Antiqua" w:hAnsi="Book Antiqua" w:cs="Times New Roman"/>
                <w:b/>
                <w:bCs/>
                <w:lang w:val="en-US"/>
              </w:rPr>
            </w:pPr>
            <w:r w:rsidRPr="003109D7">
              <w:rPr>
                <w:rFonts w:ascii="Book Antiqua" w:hAnsi="Book Antiqua" w:cs="Times New Roman"/>
                <w:b/>
                <w:bCs/>
                <w:lang w:val="en-US"/>
              </w:rPr>
              <w:t xml:space="preserve">Status </w:t>
            </w:r>
          </w:p>
        </w:tc>
        <w:tc>
          <w:tcPr>
            <w:tcW w:w="1843" w:type="dxa"/>
            <w:tcBorders>
              <w:top w:val="single" w:sz="4" w:space="0" w:color="auto"/>
              <w:bottom w:val="single" w:sz="4" w:space="0" w:color="auto"/>
            </w:tcBorders>
          </w:tcPr>
          <w:p w14:paraId="69FB50D9" w14:textId="1A17BB32" w:rsidR="003109D7" w:rsidRPr="003109D7" w:rsidRDefault="003109D7" w:rsidP="003109D7">
            <w:pPr>
              <w:spacing w:after="0"/>
              <w:jc w:val="center"/>
              <w:rPr>
                <w:rFonts w:ascii="Book Antiqua" w:hAnsi="Book Antiqua" w:cs="Times New Roman"/>
                <w:b/>
                <w:bCs/>
                <w:lang w:val="en-US"/>
              </w:rPr>
            </w:pPr>
            <w:proofErr w:type="spellStart"/>
            <w:r w:rsidRPr="003109D7">
              <w:rPr>
                <w:rFonts w:ascii="Book Antiqua" w:hAnsi="Book Antiqua" w:cs="Times New Roman"/>
                <w:b/>
                <w:bCs/>
                <w:lang w:val="en-US"/>
              </w:rPr>
              <w:t>Jumlah</w:t>
            </w:r>
            <w:proofErr w:type="spellEnd"/>
            <w:r w:rsidRPr="003109D7">
              <w:rPr>
                <w:rFonts w:ascii="Book Antiqua" w:hAnsi="Book Antiqua" w:cs="Times New Roman"/>
                <w:b/>
                <w:bCs/>
                <w:lang w:val="en-US"/>
              </w:rPr>
              <w:t xml:space="preserve"> </w:t>
            </w:r>
          </w:p>
        </w:tc>
      </w:tr>
      <w:tr w:rsidR="003109D7" w14:paraId="2F7A7868" w14:textId="77777777" w:rsidTr="003109D7">
        <w:tc>
          <w:tcPr>
            <w:tcW w:w="567" w:type="dxa"/>
            <w:tcBorders>
              <w:top w:val="single" w:sz="4" w:space="0" w:color="auto"/>
            </w:tcBorders>
          </w:tcPr>
          <w:p w14:paraId="29789151" w14:textId="4077332D" w:rsidR="003109D7" w:rsidRDefault="003109D7" w:rsidP="003109D7">
            <w:pPr>
              <w:spacing w:after="0"/>
              <w:jc w:val="center"/>
              <w:rPr>
                <w:rFonts w:ascii="Book Antiqua" w:hAnsi="Book Antiqua" w:cs="Times New Roman"/>
                <w:lang w:val="en-US"/>
              </w:rPr>
            </w:pPr>
            <w:r>
              <w:rPr>
                <w:rFonts w:ascii="Book Antiqua" w:hAnsi="Book Antiqua" w:cs="Times New Roman"/>
                <w:lang w:val="en-US"/>
              </w:rPr>
              <w:t>1.</w:t>
            </w:r>
          </w:p>
        </w:tc>
        <w:tc>
          <w:tcPr>
            <w:tcW w:w="2693" w:type="dxa"/>
            <w:tcBorders>
              <w:top w:val="single" w:sz="4" w:space="0" w:color="auto"/>
            </w:tcBorders>
          </w:tcPr>
          <w:p w14:paraId="116BAB8B" w14:textId="66C6884C" w:rsidR="003109D7" w:rsidRDefault="003109D7" w:rsidP="003109D7">
            <w:pPr>
              <w:spacing w:after="0"/>
              <w:rPr>
                <w:rFonts w:ascii="Book Antiqua" w:hAnsi="Book Antiqua" w:cs="Times New Roman"/>
                <w:lang w:val="en-US"/>
              </w:rPr>
            </w:pPr>
            <w:r>
              <w:rPr>
                <w:rFonts w:ascii="Book Antiqua" w:hAnsi="Book Antiqua" w:cs="Times New Roman"/>
                <w:lang w:val="en-US"/>
              </w:rPr>
              <w:t>Laki-</w:t>
            </w:r>
            <w:proofErr w:type="spellStart"/>
            <w:r>
              <w:rPr>
                <w:rFonts w:ascii="Book Antiqua" w:hAnsi="Book Antiqua" w:cs="Times New Roman"/>
                <w:lang w:val="en-US"/>
              </w:rPr>
              <w:t>laki</w:t>
            </w:r>
            <w:proofErr w:type="spellEnd"/>
          </w:p>
        </w:tc>
        <w:tc>
          <w:tcPr>
            <w:tcW w:w="1843" w:type="dxa"/>
            <w:tcBorders>
              <w:top w:val="single" w:sz="4" w:space="0" w:color="auto"/>
            </w:tcBorders>
          </w:tcPr>
          <w:p w14:paraId="6AA0A22D" w14:textId="4D02E7BE" w:rsidR="003109D7" w:rsidRDefault="003109D7" w:rsidP="003109D7">
            <w:pPr>
              <w:spacing w:after="0"/>
              <w:jc w:val="center"/>
              <w:rPr>
                <w:rFonts w:ascii="Book Antiqua" w:hAnsi="Book Antiqua" w:cs="Times New Roman"/>
                <w:lang w:val="en-US"/>
              </w:rPr>
            </w:pPr>
            <w:r>
              <w:rPr>
                <w:rFonts w:ascii="Book Antiqua" w:hAnsi="Book Antiqua" w:cs="Times New Roman"/>
                <w:lang w:val="en-US"/>
              </w:rPr>
              <w:t>19</w:t>
            </w:r>
          </w:p>
        </w:tc>
      </w:tr>
      <w:tr w:rsidR="003109D7" w14:paraId="5F4D8E3A" w14:textId="77777777" w:rsidTr="00E34E07">
        <w:tc>
          <w:tcPr>
            <w:tcW w:w="567" w:type="dxa"/>
            <w:tcBorders>
              <w:bottom w:val="single" w:sz="4" w:space="0" w:color="auto"/>
            </w:tcBorders>
          </w:tcPr>
          <w:p w14:paraId="57F321E5" w14:textId="3152619B" w:rsidR="003109D7" w:rsidRDefault="003109D7" w:rsidP="003109D7">
            <w:pPr>
              <w:spacing w:after="0"/>
              <w:jc w:val="center"/>
              <w:rPr>
                <w:rFonts w:ascii="Book Antiqua" w:hAnsi="Book Antiqua" w:cs="Times New Roman"/>
                <w:lang w:val="en-US"/>
              </w:rPr>
            </w:pPr>
            <w:r>
              <w:rPr>
                <w:rFonts w:ascii="Book Antiqua" w:hAnsi="Book Antiqua" w:cs="Times New Roman"/>
                <w:lang w:val="en-US"/>
              </w:rPr>
              <w:t>2.</w:t>
            </w:r>
          </w:p>
        </w:tc>
        <w:tc>
          <w:tcPr>
            <w:tcW w:w="2693" w:type="dxa"/>
            <w:tcBorders>
              <w:bottom w:val="single" w:sz="4" w:space="0" w:color="auto"/>
            </w:tcBorders>
          </w:tcPr>
          <w:p w14:paraId="256821D0" w14:textId="252DFACD" w:rsidR="003109D7" w:rsidRDefault="003109D7" w:rsidP="003109D7">
            <w:pPr>
              <w:spacing w:after="0"/>
              <w:rPr>
                <w:rFonts w:ascii="Book Antiqua" w:hAnsi="Book Antiqua" w:cs="Times New Roman"/>
                <w:lang w:val="en-US"/>
              </w:rPr>
            </w:pPr>
            <w:r>
              <w:rPr>
                <w:rFonts w:ascii="Book Antiqua" w:hAnsi="Book Antiqua" w:cs="Times New Roman"/>
                <w:lang w:val="en-US"/>
              </w:rPr>
              <w:t xml:space="preserve">Perempuan </w:t>
            </w:r>
          </w:p>
        </w:tc>
        <w:tc>
          <w:tcPr>
            <w:tcW w:w="1843" w:type="dxa"/>
            <w:tcBorders>
              <w:bottom w:val="single" w:sz="4" w:space="0" w:color="auto"/>
            </w:tcBorders>
          </w:tcPr>
          <w:p w14:paraId="26E5F750" w14:textId="156D3A7A" w:rsidR="003109D7" w:rsidRDefault="003109D7" w:rsidP="003109D7">
            <w:pPr>
              <w:spacing w:after="0"/>
              <w:jc w:val="center"/>
              <w:rPr>
                <w:rFonts w:ascii="Book Antiqua" w:hAnsi="Book Antiqua" w:cs="Times New Roman"/>
                <w:lang w:val="en-US"/>
              </w:rPr>
            </w:pPr>
            <w:r>
              <w:rPr>
                <w:rFonts w:ascii="Book Antiqua" w:hAnsi="Book Antiqua" w:cs="Times New Roman"/>
                <w:lang w:val="en-US"/>
              </w:rPr>
              <w:t>20</w:t>
            </w:r>
          </w:p>
        </w:tc>
      </w:tr>
      <w:tr w:rsidR="00E34E07" w14:paraId="230C768F" w14:textId="77777777" w:rsidTr="00E34E07">
        <w:tc>
          <w:tcPr>
            <w:tcW w:w="567" w:type="dxa"/>
            <w:tcBorders>
              <w:top w:val="single" w:sz="4" w:space="0" w:color="auto"/>
              <w:bottom w:val="single" w:sz="4" w:space="0" w:color="auto"/>
            </w:tcBorders>
          </w:tcPr>
          <w:p w14:paraId="317DC1ED" w14:textId="77777777" w:rsidR="00E34E07" w:rsidRDefault="00E34E07" w:rsidP="003109D7">
            <w:pPr>
              <w:spacing w:after="0"/>
              <w:jc w:val="center"/>
              <w:rPr>
                <w:rFonts w:ascii="Book Antiqua" w:hAnsi="Book Antiqua" w:cs="Times New Roman"/>
                <w:lang w:val="en-US"/>
              </w:rPr>
            </w:pPr>
          </w:p>
        </w:tc>
        <w:tc>
          <w:tcPr>
            <w:tcW w:w="2693" w:type="dxa"/>
            <w:tcBorders>
              <w:top w:val="single" w:sz="4" w:space="0" w:color="auto"/>
              <w:bottom w:val="single" w:sz="4" w:space="0" w:color="auto"/>
            </w:tcBorders>
          </w:tcPr>
          <w:p w14:paraId="40856DC0" w14:textId="22198229" w:rsidR="00E34E07" w:rsidRDefault="00E34E07" w:rsidP="003109D7">
            <w:pPr>
              <w:spacing w:after="0"/>
              <w:rPr>
                <w:rFonts w:ascii="Book Antiqua" w:hAnsi="Book Antiqua" w:cs="Times New Roman"/>
                <w:lang w:val="en-US"/>
              </w:rPr>
            </w:pPr>
            <w:proofErr w:type="spellStart"/>
            <w:r>
              <w:rPr>
                <w:rFonts w:ascii="Book Antiqua" w:hAnsi="Book Antiqua" w:cs="Times New Roman"/>
                <w:lang w:val="en-US"/>
              </w:rPr>
              <w:t>Jumlah</w:t>
            </w:r>
            <w:proofErr w:type="spellEnd"/>
          </w:p>
        </w:tc>
        <w:tc>
          <w:tcPr>
            <w:tcW w:w="1843" w:type="dxa"/>
            <w:tcBorders>
              <w:top w:val="single" w:sz="4" w:space="0" w:color="auto"/>
              <w:bottom w:val="single" w:sz="4" w:space="0" w:color="auto"/>
            </w:tcBorders>
          </w:tcPr>
          <w:p w14:paraId="59D0319F" w14:textId="22475632" w:rsidR="00E34E07" w:rsidRDefault="00E34E07" w:rsidP="003109D7">
            <w:pPr>
              <w:spacing w:after="0"/>
              <w:jc w:val="center"/>
              <w:rPr>
                <w:rFonts w:ascii="Book Antiqua" w:hAnsi="Book Antiqua" w:cs="Times New Roman"/>
                <w:lang w:val="en-US"/>
              </w:rPr>
            </w:pPr>
            <w:r>
              <w:rPr>
                <w:rFonts w:ascii="Book Antiqua" w:hAnsi="Book Antiqua" w:cs="Times New Roman"/>
                <w:lang w:val="en-US"/>
              </w:rPr>
              <w:t>39</w:t>
            </w:r>
          </w:p>
        </w:tc>
      </w:tr>
      <w:tr w:rsidR="00E34E07" w14:paraId="1740AB69" w14:textId="77777777" w:rsidTr="00E34E07">
        <w:tc>
          <w:tcPr>
            <w:tcW w:w="567" w:type="dxa"/>
            <w:tcBorders>
              <w:top w:val="single" w:sz="4" w:space="0" w:color="auto"/>
              <w:bottom w:val="single" w:sz="4" w:space="0" w:color="auto"/>
            </w:tcBorders>
          </w:tcPr>
          <w:p w14:paraId="1023BCD3" w14:textId="77777777" w:rsidR="00E34E07" w:rsidRDefault="00E34E07" w:rsidP="003109D7">
            <w:pPr>
              <w:spacing w:after="0"/>
              <w:jc w:val="center"/>
              <w:rPr>
                <w:rFonts w:ascii="Book Antiqua" w:hAnsi="Book Antiqua" w:cs="Times New Roman"/>
                <w:lang w:val="en-US"/>
              </w:rPr>
            </w:pPr>
          </w:p>
        </w:tc>
        <w:tc>
          <w:tcPr>
            <w:tcW w:w="2693" w:type="dxa"/>
            <w:tcBorders>
              <w:top w:val="single" w:sz="4" w:space="0" w:color="auto"/>
              <w:bottom w:val="single" w:sz="4" w:space="0" w:color="auto"/>
            </w:tcBorders>
          </w:tcPr>
          <w:p w14:paraId="460F9789" w14:textId="7720E3E0" w:rsidR="00E34E07" w:rsidRDefault="00E34E07" w:rsidP="00E34E07">
            <w:pPr>
              <w:spacing w:after="0"/>
              <w:rPr>
                <w:rFonts w:ascii="Book Antiqua" w:hAnsi="Book Antiqua" w:cs="Times New Roman"/>
                <w:lang w:val="en-US"/>
              </w:rPr>
            </w:pPr>
            <w:r>
              <w:rPr>
                <w:rFonts w:ascii="Book Antiqua" w:hAnsi="Book Antiqua" w:cs="Times New Roman"/>
                <w:lang w:val="en-US"/>
              </w:rPr>
              <w:t>R</w:t>
            </w:r>
          </w:p>
        </w:tc>
        <w:tc>
          <w:tcPr>
            <w:tcW w:w="1843" w:type="dxa"/>
            <w:tcBorders>
              <w:top w:val="single" w:sz="4" w:space="0" w:color="auto"/>
              <w:bottom w:val="single" w:sz="4" w:space="0" w:color="auto"/>
            </w:tcBorders>
          </w:tcPr>
          <w:p w14:paraId="5F35350A" w14:textId="3B432149" w:rsidR="00E34E07" w:rsidRDefault="00F97C71" w:rsidP="003109D7">
            <w:pPr>
              <w:spacing w:after="0"/>
              <w:jc w:val="center"/>
              <w:rPr>
                <w:rFonts w:ascii="Book Antiqua" w:hAnsi="Book Antiqua" w:cs="Times New Roman"/>
                <w:lang w:val="en-US"/>
              </w:rPr>
            </w:pPr>
            <w:r>
              <w:rPr>
                <w:rFonts w:ascii="Book Antiqua" w:hAnsi="Book Antiqua" w:cs="Times New Roman"/>
                <w:lang w:val="en-US"/>
              </w:rPr>
              <w:t>0,39</w:t>
            </w:r>
          </w:p>
        </w:tc>
      </w:tr>
    </w:tbl>
    <w:p w14:paraId="76988D84" w14:textId="3C6FABB8" w:rsidR="003109D7" w:rsidRDefault="003109D7" w:rsidP="003109D7">
      <w:pPr>
        <w:spacing w:after="0"/>
        <w:jc w:val="center"/>
        <w:rPr>
          <w:rFonts w:ascii="Book Antiqua" w:hAnsi="Book Antiqua" w:cs="Times New Roman"/>
          <w:lang w:val="en-US"/>
        </w:rPr>
      </w:pPr>
    </w:p>
    <w:p w14:paraId="231B7FC5" w14:textId="41DCCB63" w:rsidR="00E34E07" w:rsidRDefault="00E34E07" w:rsidP="00F97C71">
      <w:pPr>
        <w:spacing w:after="0"/>
        <w:ind w:firstLine="709"/>
        <w:jc w:val="both"/>
        <w:rPr>
          <w:rFonts w:ascii="Book Antiqua" w:eastAsia="Arial Unicode MS" w:hAnsi="Book Antiqua" w:cs="Times New Roman"/>
          <w:lang w:val="en-US"/>
        </w:rPr>
      </w:pPr>
      <w:r>
        <w:rPr>
          <w:rFonts w:ascii="Book Antiqua" w:hAnsi="Book Antiqua" w:cs="Times New Roman"/>
          <w:lang w:val="en-US"/>
        </w:rPr>
        <w:t xml:space="preserve">Dari table yang </w:t>
      </w:r>
      <w:proofErr w:type="spellStart"/>
      <w:r>
        <w:rPr>
          <w:rFonts w:ascii="Book Antiqua" w:hAnsi="Book Antiqua" w:cs="Times New Roman"/>
          <w:lang w:val="en-US"/>
        </w:rPr>
        <w:t>tertera</w:t>
      </w:r>
      <w:proofErr w:type="spellEnd"/>
      <w:r>
        <w:rPr>
          <w:rFonts w:ascii="Book Antiqua" w:hAnsi="Book Antiqua" w:cs="Times New Roman"/>
          <w:lang w:val="en-US"/>
        </w:rPr>
        <w:t xml:space="preserve"> </w:t>
      </w:r>
      <w:proofErr w:type="spellStart"/>
      <w:r>
        <w:rPr>
          <w:rFonts w:ascii="Book Antiqua" w:hAnsi="Book Antiqua" w:cs="Times New Roman"/>
          <w:lang w:val="en-US"/>
        </w:rPr>
        <w:t>diatas</w:t>
      </w:r>
      <w:proofErr w:type="spellEnd"/>
      <w:r>
        <w:rPr>
          <w:rFonts w:ascii="Book Antiqua" w:hAnsi="Book Antiqua" w:cs="Times New Roman"/>
          <w:lang w:val="en-US"/>
        </w:rPr>
        <w:t xml:space="preserve"> </w:t>
      </w:r>
      <w:proofErr w:type="spellStart"/>
      <w:r>
        <w:rPr>
          <w:rFonts w:ascii="Book Antiqua" w:hAnsi="Book Antiqua" w:cs="Times New Roman"/>
          <w:lang w:val="en-US"/>
        </w:rPr>
        <w:t>dalam</w:t>
      </w:r>
      <w:proofErr w:type="spellEnd"/>
      <w:r>
        <w:rPr>
          <w:rFonts w:ascii="Book Antiqua" w:hAnsi="Book Antiqua" w:cs="Times New Roman"/>
          <w:lang w:val="en-US"/>
        </w:rPr>
        <w:t xml:space="preserve"> </w:t>
      </w:r>
      <w:proofErr w:type="spellStart"/>
      <w:r>
        <w:rPr>
          <w:rFonts w:ascii="Book Antiqua" w:hAnsi="Book Antiqua" w:cs="Times New Roman"/>
          <w:lang w:val="en-US"/>
        </w:rPr>
        <w:t>jumlah</w:t>
      </w:r>
      <w:proofErr w:type="spellEnd"/>
      <w:r>
        <w:rPr>
          <w:rFonts w:ascii="Book Antiqua" w:hAnsi="Book Antiqua" w:cs="Times New Roman"/>
          <w:lang w:val="en-US"/>
        </w:rPr>
        <w:t xml:space="preserve"> </w:t>
      </w:r>
      <w:proofErr w:type="spellStart"/>
      <w:r>
        <w:rPr>
          <w:rFonts w:ascii="Book Antiqua" w:hAnsi="Book Antiqua" w:cs="Times New Roman"/>
          <w:lang w:val="en-US"/>
        </w:rPr>
        <w:t>siswa</w:t>
      </w:r>
      <w:proofErr w:type="spellEnd"/>
      <w:r>
        <w:rPr>
          <w:rFonts w:ascii="Book Antiqua" w:hAnsi="Book Antiqua" w:cs="Times New Roman"/>
          <w:lang w:val="en-US"/>
        </w:rPr>
        <w:t xml:space="preserve"> </w:t>
      </w:r>
      <w:proofErr w:type="spellStart"/>
      <w:r>
        <w:rPr>
          <w:rFonts w:ascii="Book Antiqua" w:hAnsi="Book Antiqua" w:cs="Times New Roman"/>
          <w:lang w:val="en-US"/>
        </w:rPr>
        <w:t>anak</w:t>
      </w:r>
      <w:proofErr w:type="spellEnd"/>
      <w:r>
        <w:rPr>
          <w:rFonts w:ascii="Book Antiqua" w:hAnsi="Book Antiqua" w:cs="Times New Roman"/>
          <w:lang w:val="en-US"/>
        </w:rPr>
        <w:t xml:space="preserve"> </w:t>
      </w:r>
      <w:proofErr w:type="spellStart"/>
      <w:r>
        <w:rPr>
          <w:rFonts w:ascii="Book Antiqua" w:hAnsi="Book Antiqua" w:cs="Times New Roman"/>
          <w:lang w:val="en-US"/>
        </w:rPr>
        <w:t>usia</w:t>
      </w:r>
      <w:proofErr w:type="spellEnd"/>
      <w:r>
        <w:rPr>
          <w:rFonts w:ascii="Book Antiqua" w:hAnsi="Book Antiqua" w:cs="Times New Roman"/>
          <w:lang w:val="en-US"/>
        </w:rPr>
        <w:t xml:space="preserve"> </w:t>
      </w:r>
      <w:proofErr w:type="spellStart"/>
      <w:r>
        <w:rPr>
          <w:rFonts w:ascii="Book Antiqua" w:hAnsi="Book Antiqua" w:cs="Times New Roman"/>
          <w:lang w:val="en-US"/>
        </w:rPr>
        <w:t>dini</w:t>
      </w:r>
      <w:proofErr w:type="spellEnd"/>
      <w:r>
        <w:rPr>
          <w:rFonts w:ascii="Book Antiqua" w:hAnsi="Book Antiqua" w:cs="Times New Roman"/>
          <w:lang w:val="en-US"/>
        </w:rPr>
        <w:t xml:space="preserve"> </w:t>
      </w:r>
      <w:r w:rsidRPr="00C04977">
        <w:rPr>
          <w:rFonts w:ascii="Book Antiqua" w:hAnsi="Book Antiqua" w:cs="Times New Roman"/>
        </w:rPr>
        <w:t xml:space="preserve">TK </w:t>
      </w:r>
      <w:proofErr w:type="spellStart"/>
      <w:r>
        <w:rPr>
          <w:rFonts w:ascii="Book Antiqua" w:eastAsia="Arial Unicode MS" w:hAnsi="Book Antiqua" w:cs="Times New Roman"/>
          <w:lang w:val="en-US"/>
        </w:rPr>
        <w:t>Aisyiyah</w:t>
      </w:r>
      <w:proofErr w:type="spellEnd"/>
      <w:r>
        <w:rPr>
          <w:rFonts w:ascii="Book Antiqua" w:eastAsia="Arial Unicode MS" w:hAnsi="Book Antiqua" w:cs="Times New Roman"/>
          <w:lang w:val="en-US"/>
        </w:rPr>
        <w:t xml:space="preserve"> 58 Surabaya</w:t>
      </w:r>
      <w:r>
        <w:rPr>
          <w:rFonts w:ascii="Book Antiqua" w:eastAsia="Arial Unicode MS" w:hAnsi="Book Antiqua" w:cs="Times New Roman"/>
          <w:lang w:val="en-US"/>
        </w:rPr>
        <w:t xml:space="preserve"> 2</w:t>
      </w:r>
      <w:r w:rsidR="00F97C71">
        <w:rPr>
          <w:rFonts w:ascii="Book Antiqua" w:eastAsia="Arial Unicode MS" w:hAnsi="Book Antiqua" w:cs="Times New Roman"/>
          <w:lang w:val="en-US"/>
        </w:rPr>
        <w:t xml:space="preserve"> </w:t>
      </w:r>
      <w:proofErr w:type="spellStart"/>
      <w:r w:rsidR="00F97C71">
        <w:rPr>
          <w:rFonts w:ascii="Book Antiqua" w:eastAsia="Arial Unicode MS" w:hAnsi="Book Antiqua" w:cs="Times New Roman"/>
          <w:lang w:val="en-US"/>
        </w:rPr>
        <w:t>dengan</w:t>
      </w:r>
      <w:proofErr w:type="spellEnd"/>
      <w:r w:rsidR="00F97C71">
        <w:rPr>
          <w:rFonts w:ascii="Book Antiqua" w:eastAsia="Arial Unicode MS" w:hAnsi="Book Antiqua" w:cs="Times New Roman"/>
          <w:lang w:val="en-US"/>
        </w:rPr>
        <w:t xml:space="preserve"> </w:t>
      </w:r>
      <w:proofErr w:type="spellStart"/>
      <w:r w:rsidR="00F97C71">
        <w:rPr>
          <w:rFonts w:ascii="Book Antiqua" w:eastAsia="Arial Unicode MS" w:hAnsi="Book Antiqua" w:cs="Times New Roman"/>
          <w:lang w:val="en-US"/>
        </w:rPr>
        <w:t>jumlah</w:t>
      </w:r>
      <w:proofErr w:type="spellEnd"/>
      <w:r w:rsidR="00F97C71">
        <w:rPr>
          <w:rFonts w:ascii="Book Antiqua" w:eastAsia="Arial Unicode MS" w:hAnsi="Book Antiqua" w:cs="Times New Roman"/>
          <w:lang w:val="en-US"/>
        </w:rPr>
        <w:t xml:space="preserve"> </w:t>
      </w:r>
      <w:proofErr w:type="spellStart"/>
      <w:r w:rsidR="00F97C71">
        <w:rPr>
          <w:rFonts w:ascii="Book Antiqua" w:eastAsia="Arial Unicode MS" w:hAnsi="Book Antiqua" w:cs="Times New Roman"/>
          <w:lang w:val="en-US"/>
        </w:rPr>
        <w:t>anak</w:t>
      </w:r>
      <w:proofErr w:type="spellEnd"/>
      <w:r w:rsidR="00F97C71">
        <w:rPr>
          <w:rFonts w:ascii="Book Antiqua" w:eastAsia="Arial Unicode MS" w:hAnsi="Book Antiqua" w:cs="Times New Roman"/>
          <w:lang w:val="en-US"/>
        </w:rPr>
        <w:t xml:space="preserve"> </w:t>
      </w:r>
      <w:proofErr w:type="spellStart"/>
      <w:r w:rsidR="00F97C71">
        <w:rPr>
          <w:rFonts w:ascii="Book Antiqua" w:eastAsia="Arial Unicode MS" w:hAnsi="Book Antiqua" w:cs="Times New Roman"/>
          <w:lang w:val="en-US"/>
        </w:rPr>
        <w:t>usia</w:t>
      </w:r>
      <w:proofErr w:type="spellEnd"/>
      <w:r w:rsidR="00F97C71">
        <w:rPr>
          <w:rFonts w:ascii="Book Antiqua" w:eastAsia="Arial Unicode MS" w:hAnsi="Book Antiqua" w:cs="Times New Roman"/>
          <w:lang w:val="en-US"/>
        </w:rPr>
        <w:t xml:space="preserve"> </w:t>
      </w:r>
      <w:proofErr w:type="spellStart"/>
      <w:r w:rsidR="00F97C71">
        <w:rPr>
          <w:rFonts w:ascii="Book Antiqua" w:eastAsia="Arial Unicode MS" w:hAnsi="Book Antiqua" w:cs="Times New Roman"/>
          <w:lang w:val="en-US"/>
        </w:rPr>
        <w:t>dini</w:t>
      </w:r>
      <w:proofErr w:type="spellEnd"/>
      <w:r w:rsidR="00F97C71">
        <w:rPr>
          <w:rFonts w:ascii="Book Antiqua" w:eastAsia="Arial Unicode MS" w:hAnsi="Book Antiqua" w:cs="Times New Roman"/>
          <w:lang w:val="en-US"/>
        </w:rPr>
        <w:t xml:space="preserve"> </w:t>
      </w:r>
      <w:proofErr w:type="spellStart"/>
      <w:r w:rsidR="00F97C71">
        <w:rPr>
          <w:rFonts w:ascii="Book Antiqua" w:eastAsia="Arial Unicode MS" w:hAnsi="Book Antiqua" w:cs="Times New Roman"/>
          <w:lang w:val="en-US"/>
        </w:rPr>
        <w:t>sebanyak</w:t>
      </w:r>
      <w:proofErr w:type="spellEnd"/>
      <w:r w:rsidR="00F97C71">
        <w:rPr>
          <w:rFonts w:ascii="Book Antiqua" w:eastAsia="Arial Unicode MS" w:hAnsi="Book Antiqua" w:cs="Times New Roman"/>
          <w:lang w:val="en-US"/>
        </w:rPr>
        <w:t xml:space="preserve"> 39 </w:t>
      </w:r>
      <w:proofErr w:type="spellStart"/>
      <w:r w:rsidR="00F97C71">
        <w:rPr>
          <w:rFonts w:ascii="Book Antiqua" w:eastAsia="Arial Unicode MS" w:hAnsi="Book Antiqua" w:cs="Times New Roman"/>
          <w:lang w:val="en-US"/>
        </w:rPr>
        <w:t>dengan</w:t>
      </w:r>
      <w:proofErr w:type="spellEnd"/>
      <w:r w:rsidR="00F97C71">
        <w:rPr>
          <w:rFonts w:ascii="Book Antiqua" w:eastAsia="Arial Unicode MS" w:hAnsi="Book Antiqua" w:cs="Times New Roman"/>
          <w:lang w:val="en-US"/>
        </w:rPr>
        <w:t xml:space="preserve"> rata-rata 0,39. </w:t>
      </w:r>
      <w:proofErr w:type="spellStart"/>
      <w:r w:rsidR="00F97C71">
        <w:rPr>
          <w:rFonts w:ascii="Book Antiqua" w:eastAsia="Arial Unicode MS" w:hAnsi="Book Antiqua" w:cs="Times New Roman"/>
          <w:lang w:val="en-US"/>
        </w:rPr>
        <w:t>Kenudian</w:t>
      </w:r>
      <w:proofErr w:type="spellEnd"/>
      <w:r w:rsidR="00F97C71">
        <w:rPr>
          <w:rFonts w:ascii="Book Antiqua" w:eastAsia="Arial Unicode MS" w:hAnsi="Book Antiqua" w:cs="Times New Roman"/>
          <w:lang w:val="en-US"/>
        </w:rPr>
        <w:t xml:space="preserve"> </w:t>
      </w:r>
      <w:proofErr w:type="spellStart"/>
      <w:r w:rsidR="00F97C71">
        <w:rPr>
          <w:rFonts w:ascii="Book Antiqua" w:eastAsia="Arial Unicode MS" w:hAnsi="Book Antiqua" w:cs="Times New Roman"/>
          <w:lang w:val="en-US"/>
        </w:rPr>
        <w:t>dari</w:t>
      </w:r>
      <w:proofErr w:type="spellEnd"/>
      <w:r w:rsidR="00F97C71">
        <w:rPr>
          <w:rFonts w:ascii="Book Antiqua" w:eastAsia="Arial Unicode MS" w:hAnsi="Book Antiqua" w:cs="Times New Roman"/>
          <w:lang w:val="en-US"/>
        </w:rPr>
        <w:t xml:space="preserve"> table </w:t>
      </w:r>
      <w:proofErr w:type="spellStart"/>
      <w:r w:rsidR="00F97C71">
        <w:rPr>
          <w:rFonts w:ascii="Book Antiqua" w:eastAsia="Arial Unicode MS" w:hAnsi="Book Antiqua" w:cs="Times New Roman"/>
          <w:lang w:val="en-US"/>
        </w:rPr>
        <w:t>tersebut</w:t>
      </w:r>
      <w:proofErr w:type="spellEnd"/>
      <w:r w:rsidR="00F97C71">
        <w:rPr>
          <w:rFonts w:ascii="Book Antiqua" w:eastAsia="Arial Unicode MS" w:hAnsi="Book Antiqua" w:cs="Times New Roman"/>
          <w:lang w:val="en-US"/>
        </w:rPr>
        <w:t xml:space="preserve"> </w:t>
      </w:r>
      <w:proofErr w:type="spellStart"/>
      <w:r w:rsidR="00F97C71">
        <w:rPr>
          <w:rFonts w:ascii="Book Antiqua" w:eastAsia="Arial Unicode MS" w:hAnsi="Book Antiqua" w:cs="Times New Roman"/>
          <w:lang w:val="en-US"/>
        </w:rPr>
        <w:t>dapat</w:t>
      </w:r>
      <w:proofErr w:type="spellEnd"/>
      <w:r w:rsidR="00F97C71">
        <w:rPr>
          <w:rFonts w:ascii="Book Antiqua" w:eastAsia="Arial Unicode MS" w:hAnsi="Book Antiqua" w:cs="Times New Roman"/>
          <w:lang w:val="en-US"/>
        </w:rPr>
        <w:t xml:space="preserve"> </w:t>
      </w:r>
      <w:proofErr w:type="spellStart"/>
      <w:r w:rsidR="00F97C71">
        <w:rPr>
          <w:rFonts w:ascii="Book Antiqua" w:eastAsia="Arial Unicode MS" w:hAnsi="Book Antiqua" w:cs="Times New Roman"/>
          <w:lang w:val="en-US"/>
        </w:rPr>
        <w:t>digambarkan</w:t>
      </w:r>
      <w:proofErr w:type="spellEnd"/>
      <w:r w:rsidR="00F97C71">
        <w:rPr>
          <w:rFonts w:ascii="Book Antiqua" w:eastAsia="Arial Unicode MS" w:hAnsi="Book Antiqua" w:cs="Times New Roman"/>
          <w:lang w:val="en-US"/>
        </w:rPr>
        <w:t xml:space="preserve"> </w:t>
      </w:r>
      <w:proofErr w:type="spellStart"/>
      <w:r w:rsidR="00F97C71">
        <w:rPr>
          <w:rFonts w:ascii="Book Antiqua" w:eastAsia="Arial Unicode MS" w:hAnsi="Book Antiqua" w:cs="Times New Roman"/>
          <w:lang w:val="en-US"/>
        </w:rPr>
        <w:t>dalam</w:t>
      </w:r>
      <w:proofErr w:type="spellEnd"/>
      <w:r w:rsidR="00F97C71">
        <w:rPr>
          <w:rFonts w:ascii="Book Antiqua" w:eastAsia="Arial Unicode MS" w:hAnsi="Book Antiqua" w:cs="Times New Roman"/>
          <w:lang w:val="en-US"/>
        </w:rPr>
        <w:t xml:space="preserve"> diagram </w:t>
      </w:r>
      <w:proofErr w:type="spellStart"/>
      <w:r w:rsidR="00F97C71">
        <w:rPr>
          <w:rFonts w:ascii="Book Antiqua" w:eastAsia="Arial Unicode MS" w:hAnsi="Book Antiqua" w:cs="Times New Roman"/>
          <w:lang w:val="en-US"/>
        </w:rPr>
        <w:t>berikut</w:t>
      </w:r>
      <w:proofErr w:type="spellEnd"/>
      <w:r w:rsidR="00F97C71">
        <w:rPr>
          <w:rFonts w:ascii="Book Antiqua" w:eastAsia="Arial Unicode MS" w:hAnsi="Book Antiqua" w:cs="Times New Roman"/>
          <w:lang w:val="en-US"/>
        </w:rPr>
        <w:t>.</w:t>
      </w:r>
    </w:p>
    <w:p w14:paraId="49A6DEAF" w14:textId="0A9D01CE" w:rsidR="00F97C71" w:rsidRPr="003109D7" w:rsidRDefault="00F97C71" w:rsidP="00F97C71">
      <w:pPr>
        <w:spacing w:after="0"/>
        <w:ind w:firstLine="709"/>
        <w:jc w:val="both"/>
        <w:rPr>
          <w:rFonts w:ascii="Book Antiqua" w:hAnsi="Book Antiqua" w:cs="Times New Roman"/>
          <w:lang w:val="en-US"/>
        </w:rPr>
      </w:pPr>
      <w:r>
        <w:rPr>
          <w:noProof/>
        </w:rPr>
        <w:drawing>
          <wp:inline distT="0" distB="0" distL="0" distR="0" wp14:anchorId="445B0112" wp14:editId="2F64AF84">
            <wp:extent cx="4572000" cy="2743200"/>
            <wp:effectExtent l="0" t="0" r="0" b="0"/>
            <wp:docPr id="1" name="Chart 1">
              <a:extLst xmlns:a="http://schemas.openxmlformats.org/drawingml/2006/main">
                <a:ext uri="{FF2B5EF4-FFF2-40B4-BE49-F238E27FC236}">
                  <a16:creationId xmlns:a16="http://schemas.microsoft.com/office/drawing/2014/main" id="{5B7225D5-3CCB-43C0-A300-9D70DFB15F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ACD26CF" w14:textId="22096CD0" w:rsidR="00C04977" w:rsidRPr="00C04977" w:rsidRDefault="00C04977" w:rsidP="00C04977">
      <w:pPr>
        <w:spacing w:after="0"/>
        <w:ind w:firstLine="709"/>
        <w:jc w:val="both"/>
        <w:rPr>
          <w:rFonts w:ascii="Book Antiqua" w:eastAsia="Arial Unicode MS" w:hAnsi="Book Antiqua" w:cs="Times New Roman"/>
        </w:rPr>
      </w:pPr>
      <w:r w:rsidRPr="00C04977">
        <w:rPr>
          <w:rFonts w:ascii="Book Antiqua" w:hAnsi="Book Antiqua" w:cs="Times New Roman"/>
        </w:rPr>
        <w:t xml:space="preserve">Seperti yang diungkapkan oleh salah satu dari wali murid TK </w:t>
      </w:r>
      <w:proofErr w:type="spellStart"/>
      <w:r w:rsidR="00847E2A">
        <w:rPr>
          <w:rFonts w:ascii="Book Antiqua" w:eastAsia="Arial Unicode MS" w:hAnsi="Book Antiqua" w:cs="Times New Roman"/>
          <w:lang w:val="en-US"/>
        </w:rPr>
        <w:t>Aisyiyah</w:t>
      </w:r>
      <w:proofErr w:type="spellEnd"/>
      <w:r w:rsidR="00847E2A">
        <w:rPr>
          <w:rFonts w:ascii="Book Antiqua" w:eastAsia="Arial Unicode MS" w:hAnsi="Book Antiqua" w:cs="Times New Roman"/>
          <w:lang w:val="en-US"/>
        </w:rPr>
        <w:t xml:space="preserve"> 58 Surabaya</w:t>
      </w:r>
      <w:r w:rsidRPr="00C04977">
        <w:rPr>
          <w:rFonts w:ascii="Book Antiqua" w:eastAsia="Arial Unicode MS" w:hAnsi="Book Antiqua" w:cs="Times New Roman"/>
        </w:rPr>
        <w:t xml:space="preserve"> memberikan penjelasan bahwa:</w:t>
      </w:r>
    </w:p>
    <w:p w14:paraId="6B56B67A" w14:textId="77777777" w:rsidR="00C04977" w:rsidRPr="00C04977" w:rsidRDefault="00C04977" w:rsidP="00C04977">
      <w:pPr>
        <w:spacing w:after="0"/>
        <w:ind w:left="709"/>
        <w:jc w:val="both"/>
        <w:rPr>
          <w:rFonts w:ascii="Book Antiqua" w:eastAsia="Arial Unicode MS" w:hAnsi="Book Antiqua" w:cs="Times New Roman"/>
          <w:i/>
        </w:rPr>
      </w:pPr>
      <w:r w:rsidRPr="00C04977">
        <w:rPr>
          <w:rFonts w:ascii="Book Antiqua" w:eastAsia="Arial Unicode MS" w:hAnsi="Book Antiqua" w:cs="Times New Roman"/>
          <w:i/>
        </w:rPr>
        <w:t xml:space="preserve">“Saya dikondisi seperti sekarang ini selalu mendampingi anak saya dalam mengikuti pembelajaran TK dan terus memotivasi dengan sabar. Saya lebih memilih menfasilitasi anak untuk belajar ketimbang saya biarkan belajar sendiri yang terkadang belajar dia atau tidak saya tidak tahu. Karena anak memiliki masa depan yang sangat panjang maka dengan belajar itu  menjadi bekal dalam kehidupannya yang akan dating. Apabila anak salah dalam mengarahkan maka takut nanti kedepannya tidak menjadi orangyang berguna”. </w:t>
      </w:r>
    </w:p>
    <w:p w14:paraId="78A35A02" w14:textId="6CDA82BB" w:rsidR="00C04977" w:rsidRPr="00C04977" w:rsidRDefault="00C04977" w:rsidP="00C04977">
      <w:pPr>
        <w:spacing w:after="0"/>
        <w:ind w:firstLine="709"/>
        <w:jc w:val="both"/>
        <w:rPr>
          <w:rFonts w:ascii="Book Antiqua" w:eastAsia="Arial Unicode MS" w:hAnsi="Book Antiqua" w:cs="Times New Roman"/>
        </w:rPr>
      </w:pPr>
      <w:r w:rsidRPr="00C04977">
        <w:rPr>
          <w:rFonts w:ascii="Book Antiqua" w:hAnsi="Book Antiqua" w:cs="Times New Roman"/>
        </w:rPr>
        <w:t xml:space="preserve">Ditegaskan oleh responden yang lain selaku wali murid terkait dengan pola asuh orang tua yang dilakukan terhadap anaknya dalam mengikuti pelajaran </w:t>
      </w:r>
      <w:r w:rsidR="00847E2A" w:rsidRPr="00C04977">
        <w:rPr>
          <w:rFonts w:ascii="Book Antiqua" w:hAnsi="Book Antiqua" w:cs="Times New Roman"/>
        </w:rPr>
        <w:t xml:space="preserve">TK </w:t>
      </w:r>
      <w:proofErr w:type="spellStart"/>
      <w:r w:rsidR="00847E2A">
        <w:rPr>
          <w:rFonts w:ascii="Book Antiqua" w:eastAsia="Arial Unicode MS" w:hAnsi="Book Antiqua" w:cs="Times New Roman"/>
          <w:lang w:val="en-US"/>
        </w:rPr>
        <w:t>Aisyiyah</w:t>
      </w:r>
      <w:proofErr w:type="spellEnd"/>
      <w:r w:rsidR="00847E2A">
        <w:rPr>
          <w:rFonts w:ascii="Book Antiqua" w:eastAsia="Arial Unicode MS" w:hAnsi="Book Antiqua" w:cs="Times New Roman"/>
          <w:lang w:val="en-US"/>
        </w:rPr>
        <w:t xml:space="preserve"> 58 Surabaya</w:t>
      </w:r>
      <w:r w:rsidR="00847E2A" w:rsidRPr="00C04977">
        <w:rPr>
          <w:rFonts w:ascii="Book Antiqua" w:eastAsia="Arial Unicode MS" w:hAnsi="Book Antiqua" w:cs="Times New Roman"/>
        </w:rPr>
        <w:t xml:space="preserve"> </w:t>
      </w:r>
      <w:r w:rsidRPr="00C04977">
        <w:rPr>
          <w:rFonts w:ascii="Book Antiqua" w:eastAsia="Arial Unicode MS" w:hAnsi="Book Antiqua" w:cs="Times New Roman"/>
        </w:rPr>
        <w:t>menyatakan bahwa:</w:t>
      </w:r>
    </w:p>
    <w:p w14:paraId="2DC0E9F3" w14:textId="77777777" w:rsidR="00C04977" w:rsidRPr="00C04977" w:rsidRDefault="00C04977" w:rsidP="00C04977">
      <w:pPr>
        <w:spacing w:after="0"/>
        <w:ind w:left="709"/>
        <w:jc w:val="both"/>
        <w:rPr>
          <w:rFonts w:ascii="Book Antiqua" w:eastAsia="Arial Unicode MS" w:hAnsi="Book Antiqua" w:cs="Times New Roman"/>
          <w:i/>
        </w:rPr>
      </w:pPr>
      <w:r w:rsidRPr="00C04977">
        <w:rPr>
          <w:rFonts w:ascii="Book Antiqua" w:eastAsia="Arial Unicode MS" w:hAnsi="Book Antiqua" w:cs="Times New Roman"/>
          <w:i/>
        </w:rPr>
        <w:t xml:space="preserve">“Menurut saya pengasuhan orang tua terhadap anak dalam membimbing bagaimana ia belajar dan bermain dan lain – lain tentu sangat penting orang tua menfasilitasi. Terutama ketia ia belajar dan bagaimana ia bermain dalam merangsang motoriknya tanpa ada ketakutan sedikitpun. Apalagi orang tua perempuan yang paling dekat dengan anak justru harus seefektif </w:t>
      </w:r>
      <w:r w:rsidRPr="00C04977">
        <w:rPr>
          <w:rFonts w:ascii="Book Antiqua" w:eastAsia="Arial Unicode MS" w:hAnsi="Book Antiqua" w:cs="Times New Roman"/>
          <w:i/>
        </w:rPr>
        <w:lastRenderedPageBreak/>
        <w:t>mungkin dalam membmbing anaknya dalam perkembangannya terutama dalam memotivasi anak terus aktif bermain sambil belajar”.</w:t>
      </w:r>
    </w:p>
    <w:p w14:paraId="5CDBE66B" w14:textId="243662C8" w:rsidR="00C04977" w:rsidRPr="00C04977" w:rsidRDefault="00C04977" w:rsidP="00C04977">
      <w:pPr>
        <w:spacing w:after="0"/>
        <w:ind w:firstLine="709"/>
        <w:jc w:val="both"/>
        <w:rPr>
          <w:rFonts w:ascii="Book Antiqua" w:eastAsia="Arial Unicode MS" w:hAnsi="Book Antiqua" w:cs="Times New Roman"/>
        </w:rPr>
      </w:pPr>
      <w:r w:rsidRPr="00C04977">
        <w:rPr>
          <w:rFonts w:ascii="Book Antiqua" w:eastAsia="Arial Unicode MS" w:hAnsi="Book Antiqua" w:cs="Times New Roman"/>
        </w:rPr>
        <w:t xml:space="preserve">Begitupun menurut pendapat guru yang selama ini mengajar di </w:t>
      </w:r>
      <w:r w:rsidR="00847E2A" w:rsidRPr="00C04977">
        <w:rPr>
          <w:rFonts w:ascii="Book Antiqua" w:hAnsi="Book Antiqua" w:cs="Times New Roman"/>
        </w:rPr>
        <w:t xml:space="preserve">TK </w:t>
      </w:r>
      <w:proofErr w:type="spellStart"/>
      <w:r w:rsidR="00847E2A">
        <w:rPr>
          <w:rFonts w:ascii="Book Antiqua" w:eastAsia="Arial Unicode MS" w:hAnsi="Book Antiqua" w:cs="Times New Roman"/>
          <w:lang w:val="en-US"/>
        </w:rPr>
        <w:t>Aisyiyah</w:t>
      </w:r>
      <w:proofErr w:type="spellEnd"/>
      <w:r w:rsidR="00847E2A">
        <w:rPr>
          <w:rFonts w:ascii="Book Antiqua" w:eastAsia="Arial Unicode MS" w:hAnsi="Book Antiqua" w:cs="Times New Roman"/>
          <w:lang w:val="en-US"/>
        </w:rPr>
        <w:t xml:space="preserve"> 58 Surabaya</w:t>
      </w:r>
      <w:r w:rsidR="00847E2A" w:rsidRPr="00C04977">
        <w:rPr>
          <w:rFonts w:ascii="Book Antiqua" w:eastAsia="Arial Unicode MS" w:hAnsi="Book Antiqua" w:cs="Times New Roman"/>
        </w:rPr>
        <w:t xml:space="preserve"> </w:t>
      </w:r>
      <w:r w:rsidRPr="00C04977">
        <w:rPr>
          <w:rFonts w:ascii="Book Antiqua" w:eastAsia="Arial Unicode MS" w:hAnsi="Book Antiqua" w:cs="Times New Roman"/>
        </w:rPr>
        <w:t xml:space="preserve">memahami betul dalam upaya pola asuh orang tua dalam meningkatkan </w:t>
      </w:r>
      <w:r w:rsidRPr="00C04977">
        <w:rPr>
          <w:rFonts w:ascii="Book Antiqua" w:eastAsia="Arial Unicode MS" w:hAnsi="Book Antiqua" w:cs="Times New Roman"/>
          <w:i/>
        </w:rPr>
        <w:t xml:space="preserve">Adversity Quotient </w:t>
      </w:r>
      <w:r w:rsidRPr="00C04977">
        <w:rPr>
          <w:rFonts w:ascii="Book Antiqua" w:eastAsia="Arial Unicode MS" w:hAnsi="Book Antiqua" w:cs="Times New Roman"/>
        </w:rPr>
        <w:t xml:space="preserve">dan motivasi belajar siswa. Seperti yang ditegaskan dalam wawancara berlangsung ketika peneliti melakukan observasi menyatakan bahwa: </w:t>
      </w:r>
    </w:p>
    <w:p w14:paraId="7B237A39" w14:textId="77777777" w:rsidR="00C04977" w:rsidRPr="00C04977" w:rsidRDefault="00C04977" w:rsidP="00C04977">
      <w:pPr>
        <w:spacing w:after="0"/>
        <w:ind w:left="709"/>
        <w:jc w:val="both"/>
        <w:rPr>
          <w:rFonts w:ascii="Book Antiqua" w:eastAsia="Arial Unicode MS" w:hAnsi="Book Antiqua" w:cs="Times New Roman"/>
          <w:i/>
        </w:rPr>
      </w:pPr>
      <w:r w:rsidRPr="00C04977">
        <w:rPr>
          <w:rFonts w:ascii="Book Antiqua" w:eastAsia="Arial Unicode MS" w:hAnsi="Book Antiqua" w:cs="Times New Roman"/>
          <w:i/>
        </w:rPr>
        <w:t>“Orang tua merupakan salah satu keluarga yang paling dekat dengan anak. Maka sesuai dengan jargon Ki Hajar Dewantara tripusat pendidikan yang salah satunya adalah pendidikan informal (lingkungan pendidikan keluarga). Maka saya yakin dengan pola asuh orang tua yang baik akan membentuk anak – anak yang baik dan berprestasi sebagai keder bangsa yang akan dating. Motivasi belajar anak itu akan meningkat ketika ada rangsangan dari luar, yaitu orang tua dan guru sebagai fasilator untuk anak”.</w:t>
      </w:r>
    </w:p>
    <w:p w14:paraId="1B14D75E" w14:textId="02E50F7E" w:rsidR="00C04977" w:rsidRPr="00C04977" w:rsidRDefault="00C04977" w:rsidP="00C04977">
      <w:pPr>
        <w:spacing w:after="0"/>
        <w:jc w:val="both"/>
        <w:rPr>
          <w:rFonts w:ascii="Book Antiqua" w:eastAsia="Arial Unicode MS" w:hAnsi="Book Antiqua" w:cs="Times New Roman"/>
        </w:rPr>
      </w:pPr>
      <w:r w:rsidRPr="00C04977">
        <w:rPr>
          <w:rFonts w:ascii="Book Antiqua" w:eastAsia="Arial Unicode MS" w:hAnsi="Book Antiqua" w:cs="Times New Roman"/>
        </w:rPr>
        <w:t xml:space="preserve">Seperti yang diperkuat oleh Kepala Sekolah </w:t>
      </w:r>
      <w:r w:rsidR="00847E2A" w:rsidRPr="00C04977">
        <w:rPr>
          <w:rFonts w:ascii="Book Antiqua" w:hAnsi="Book Antiqua" w:cs="Times New Roman"/>
        </w:rPr>
        <w:t xml:space="preserve">TK </w:t>
      </w:r>
      <w:proofErr w:type="spellStart"/>
      <w:r w:rsidR="00847E2A">
        <w:rPr>
          <w:rFonts w:ascii="Book Antiqua" w:eastAsia="Arial Unicode MS" w:hAnsi="Book Antiqua" w:cs="Times New Roman"/>
          <w:lang w:val="en-US"/>
        </w:rPr>
        <w:t>Aisyiyah</w:t>
      </w:r>
      <w:proofErr w:type="spellEnd"/>
      <w:r w:rsidR="00847E2A">
        <w:rPr>
          <w:rFonts w:ascii="Book Antiqua" w:eastAsia="Arial Unicode MS" w:hAnsi="Book Antiqua" w:cs="Times New Roman"/>
          <w:lang w:val="en-US"/>
        </w:rPr>
        <w:t xml:space="preserve"> 58 Surabaya</w:t>
      </w:r>
      <w:r w:rsidR="00847E2A" w:rsidRPr="00C04977">
        <w:rPr>
          <w:rFonts w:ascii="Book Antiqua" w:eastAsia="Arial Unicode MS" w:hAnsi="Book Antiqua" w:cs="Times New Roman"/>
        </w:rPr>
        <w:t xml:space="preserve"> </w:t>
      </w:r>
      <w:r w:rsidRPr="00C04977">
        <w:rPr>
          <w:rFonts w:ascii="Book Antiqua" w:eastAsia="Arial Unicode MS" w:hAnsi="Book Antiqua" w:cs="Times New Roman"/>
        </w:rPr>
        <w:t xml:space="preserve">menegaskan terkait dengan pola asuh orang tua dalam meningkatkan </w:t>
      </w:r>
      <w:r w:rsidRPr="00C04977">
        <w:rPr>
          <w:rFonts w:ascii="Book Antiqua" w:eastAsia="Arial Unicode MS" w:hAnsi="Book Antiqua" w:cs="Times New Roman"/>
          <w:i/>
        </w:rPr>
        <w:t xml:space="preserve">Adversity Quotient </w:t>
      </w:r>
      <w:r w:rsidRPr="00C04977">
        <w:rPr>
          <w:rFonts w:ascii="Book Antiqua" w:eastAsia="Arial Unicode MS" w:hAnsi="Book Antiqua" w:cs="Times New Roman"/>
        </w:rPr>
        <w:t>dan motivasi belajar siswa, menegaskan bahwa:</w:t>
      </w:r>
    </w:p>
    <w:p w14:paraId="0996F1F7" w14:textId="77777777" w:rsidR="00C04977" w:rsidRPr="00C04977" w:rsidRDefault="00C04977" w:rsidP="00C04977">
      <w:pPr>
        <w:spacing w:after="0"/>
        <w:ind w:left="720"/>
        <w:jc w:val="both"/>
        <w:rPr>
          <w:rFonts w:ascii="Book Antiqua" w:hAnsi="Book Antiqua" w:cs="Times New Roman"/>
          <w:i/>
        </w:rPr>
      </w:pPr>
      <w:r w:rsidRPr="00C04977">
        <w:rPr>
          <w:rFonts w:ascii="Book Antiqua" w:eastAsia="Arial Unicode MS" w:hAnsi="Book Antiqua" w:cs="Times New Roman"/>
          <w:i/>
        </w:rPr>
        <w:t xml:space="preserve">“Adversity Quotient itu kan kecerdasan anak dalam </w:t>
      </w:r>
      <w:r w:rsidRPr="00C04977">
        <w:rPr>
          <w:rFonts w:ascii="Book Antiqua" w:hAnsi="Book Antiqua" w:cs="Times New Roman"/>
          <w:i/>
        </w:rPr>
        <w:t xml:space="preserve">adalah kecerdasan mengatasi kesulitan. Adversity quotient dibutuhkan anak untuk mencapai kesuksesan dalam belajar karena anak yang memiliki </w:t>
      </w:r>
      <w:r w:rsidRPr="00C04977">
        <w:rPr>
          <w:rFonts w:ascii="Book Antiqua" w:eastAsia="Arial Unicode MS" w:hAnsi="Book Antiqua" w:cs="Times New Roman"/>
          <w:i/>
        </w:rPr>
        <w:t>Adversity Quotient</w:t>
      </w:r>
      <w:r w:rsidRPr="00C04977">
        <w:rPr>
          <w:rFonts w:ascii="Book Antiqua" w:hAnsi="Book Antiqua" w:cs="Times New Roman"/>
          <w:i/>
        </w:rPr>
        <w:t xml:space="preserve"> yang tinggi bisa sukses belajar meskipun banyak hambatan menghadang mereka tidak langsung menyerah dan tidak membiarkan kesulitan menghancurkan impian dan cita-citanya”.</w:t>
      </w:r>
    </w:p>
    <w:p w14:paraId="7ECD48C6" w14:textId="77777777" w:rsidR="00C04977" w:rsidRPr="00C04977" w:rsidRDefault="00C04977" w:rsidP="00C04977">
      <w:pPr>
        <w:spacing w:after="0"/>
        <w:ind w:firstLine="709"/>
        <w:jc w:val="both"/>
        <w:rPr>
          <w:rFonts w:ascii="Book Antiqua" w:hAnsi="Book Antiqua" w:cs="Times New Roman"/>
        </w:rPr>
      </w:pPr>
      <w:r w:rsidRPr="00C04977">
        <w:rPr>
          <w:rFonts w:ascii="Book Antiqua" w:hAnsi="Book Antiqua" w:cs="Times New Roman"/>
          <w:bCs/>
        </w:rPr>
        <w:t xml:space="preserve">Maka dari itu, dari apa yang disampaikan oleh responden diatas bahwa dengan pola asuh orang tua yang baik memiliki dampak tersendiri dalam meningkatkan </w:t>
      </w:r>
      <w:r w:rsidRPr="00C04977">
        <w:rPr>
          <w:rFonts w:ascii="Book Antiqua" w:eastAsia="Arial Unicode MS" w:hAnsi="Book Antiqua" w:cs="Times New Roman"/>
          <w:i/>
        </w:rPr>
        <w:t xml:space="preserve">Adversity Quotient </w:t>
      </w:r>
      <w:r w:rsidRPr="00C04977">
        <w:rPr>
          <w:rFonts w:ascii="Book Antiqua" w:eastAsia="Arial Unicode MS" w:hAnsi="Book Antiqua" w:cs="Times New Roman"/>
        </w:rPr>
        <w:t xml:space="preserve">dan motivasi belajar siswa. </w:t>
      </w:r>
      <w:r w:rsidRPr="00C04977">
        <w:rPr>
          <w:rFonts w:ascii="Book Antiqua" w:hAnsi="Book Antiqua" w:cs="Times New Roman"/>
        </w:rPr>
        <w:t xml:space="preserve">kemampuan anak menghadapi kesulitan akan menjadi berkah dalam kehidupan. Dengan demikian kesulitan atau kegagalan bukan untuk dihindari tapi hadapi dan mengubahnya menjadi berkah dalam kehidupan. Pola pikir yang telah diuraikan di atas, tampak adanya hubungan antara </w:t>
      </w:r>
      <w:r w:rsidRPr="00C04977">
        <w:rPr>
          <w:rFonts w:ascii="Book Antiqua" w:hAnsi="Book Antiqua" w:cs="Times New Roman"/>
          <w:i/>
        </w:rPr>
        <w:t>Adversity Qoutient</w:t>
      </w:r>
      <w:r w:rsidRPr="00C04977">
        <w:rPr>
          <w:rFonts w:ascii="Book Antiqua" w:hAnsi="Book Antiqua" w:cs="Times New Roman"/>
        </w:rPr>
        <w:t xml:space="preserve"> terhadap motivasi belajar siswa, karena tiap-tiap kategori </w:t>
      </w:r>
      <w:r w:rsidRPr="00C04977">
        <w:rPr>
          <w:rFonts w:ascii="Book Antiqua" w:hAnsi="Book Antiqua" w:cs="Times New Roman"/>
          <w:i/>
        </w:rPr>
        <w:t xml:space="preserve">adversity qoutient </w:t>
      </w:r>
      <w:r w:rsidRPr="00C04977">
        <w:rPr>
          <w:rFonts w:ascii="Book Antiqua" w:hAnsi="Book Antiqua" w:cs="Times New Roman"/>
        </w:rPr>
        <w:t xml:space="preserve">anak membawa dampak terhadap prestasi belajar. potensi </w:t>
      </w:r>
      <w:r w:rsidRPr="00C04977">
        <w:rPr>
          <w:rFonts w:ascii="Book Antiqua" w:hAnsi="Book Antiqua" w:cs="Times New Roman"/>
          <w:i/>
        </w:rPr>
        <w:t>Adversity Quotient</w:t>
      </w:r>
      <w:r w:rsidRPr="00C04977">
        <w:rPr>
          <w:rFonts w:ascii="Book Antiqua" w:hAnsi="Book Antiqua" w:cs="Times New Roman"/>
        </w:rPr>
        <w:t xml:space="preserve"> nampak sangat berperan dalam memotivasi siswa belajar. Maka dari itu semunya dapat menjadi terkendali dengan baik kalau pola asuh orang tua menyesuaikan dengan apa yang dibutuhkan anak sehingga akan meningkatkan perkembangan anak kedepannya.</w:t>
      </w:r>
    </w:p>
    <w:p w14:paraId="246DCF0A" w14:textId="77777777" w:rsidR="00C04977" w:rsidRPr="005260DA" w:rsidRDefault="00C04977" w:rsidP="00C04977">
      <w:pPr>
        <w:spacing w:after="0"/>
        <w:ind w:firstLine="709"/>
        <w:jc w:val="both"/>
        <w:rPr>
          <w:rFonts w:ascii="Times New Roman" w:hAnsi="Times New Roman" w:cs="Times New Roman"/>
          <w:sz w:val="24"/>
          <w:szCs w:val="24"/>
        </w:rPr>
      </w:pPr>
    </w:p>
    <w:p w14:paraId="23AC76E5" w14:textId="6CAF755F" w:rsidR="00C04977" w:rsidRPr="00C04977" w:rsidRDefault="00C04977" w:rsidP="00C04977">
      <w:pPr>
        <w:spacing w:after="0"/>
        <w:rPr>
          <w:rFonts w:ascii="Book Antiqua" w:hAnsi="Book Antiqua" w:cs="Times New Roman"/>
          <w:b/>
          <w:bCs/>
          <w:sz w:val="26"/>
          <w:szCs w:val="26"/>
          <w:lang w:val="en-US"/>
        </w:rPr>
      </w:pPr>
      <w:proofErr w:type="spellStart"/>
      <w:r w:rsidRPr="00C04977">
        <w:rPr>
          <w:rFonts w:ascii="Book Antiqua" w:hAnsi="Book Antiqua" w:cs="Times New Roman"/>
          <w:b/>
          <w:bCs/>
          <w:sz w:val="26"/>
          <w:szCs w:val="26"/>
          <w:lang w:val="en-US"/>
        </w:rPr>
        <w:t>Pembahasan</w:t>
      </w:r>
      <w:proofErr w:type="spellEnd"/>
      <w:r w:rsidRPr="00C04977">
        <w:rPr>
          <w:rFonts w:ascii="Book Antiqua" w:hAnsi="Book Antiqua" w:cs="Times New Roman"/>
          <w:b/>
          <w:bCs/>
          <w:sz w:val="26"/>
          <w:szCs w:val="26"/>
          <w:lang w:val="en-US"/>
        </w:rPr>
        <w:t xml:space="preserve"> </w:t>
      </w:r>
    </w:p>
    <w:p w14:paraId="2A59F4E0" w14:textId="77777777" w:rsidR="00C04977" w:rsidRPr="00C04977" w:rsidRDefault="00C04977" w:rsidP="00C04977">
      <w:pPr>
        <w:spacing w:after="0"/>
        <w:ind w:firstLine="709"/>
        <w:jc w:val="both"/>
        <w:rPr>
          <w:rFonts w:ascii="Book Antiqua" w:hAnsi="Book Antiqua" w:cs="Times New Roman"/>
        </w:rPr>
      </w:pPr>
      <w:r w:rsidRPr="00C04977">
        <w:rPr>
          <w:rFonts w:ascii="Book Antiqua" w:hAnsi="Book Antiqua" w:cs="Times New Roman"/>
        </w:rPr>
        <w:t xml:space="preserve">Manusia dilahirkan dengan satu dorongan hati yang manusiawi untuk terus mendaki. Yang dimaksud dengan pendakian yaitu menggerakkan tujuan hidup ke depan, apapun tujuan itu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{"citationItems":[{"id":"ITEM-1","itemData":{"DOI":"10.1016/j.jcbs.2020.07.011","ISSN":"22121447","abstract":"The COVID-19 pandemic has led to hardship for individuals across the globe, and research to-date has indicated a significant impact of the pandemic on mental health functioning. In order to promote psychological resilience during this time, it is important to understand modifiable targets for clinical intervention. The current study examined demographic characteristics, pandemic-related adversity, and psychological flexibility in relation to general and peritraumatic distress in a sample of United States survey respondents during May of 2020. Participants were recruited from Amazon Mechanical Turk (MTurk), N = 485. Participants completed measures of pandemic-related adversity, psychological flexibility components (openness to experience, behavioral awareness, and valued action), peritraumatic distress, and general distress. Hierarchical regression analyses examined whether demographic characteristics, pandemic-related adversity, and components of psychological flexibility were associated with general and peritraumatic distress. Results indicated that higher pandemic-related adversity, lower openness to experience, and lower behavioral awareness were significantly associated with higher general distress. Greater pandemic-related adversity, lower openness to experience, lower behavioral awareness, and higher valued action were significantly associated with higher peritraumatic distress. Adding the components of psychological flexibility to the model increased the amount of variance accounted for in both measures of distress. The results indicated that psychological flexibility components may be particularly important targets for prevention and intervention efforts in the midst of the COVID-19 pandemic. Transdiagnostic interventions, such as Acceptance and Commitment Therapy, that target psychological flexibility may be useful as the impact of the pandemic continues to unfold.","author":[{"dropping-particle":"","family":"Kroska","given":"Emily B.","non-dropping-particle":"","parse-names":false,"suffix":""},{"dropping-particle":"","family":"Roche","given":"Anne I.","non-dropping-particle":"","parse-names":false,"suffix":""},{"dropping-particle":"","family":"Adamowicz","given":"Jenna L.","non-dropping-particle":"","parse-names":false,"suffix":""},{"dropping-particle":"","family":"Stegall","given":"Manny S.","non-dropping-particle":"","parse-names":false,"suffix":""}],"container-title":"Journal of Contextual Behavioral Science","id":"ITEM-1","issue":"June","issued":{"date-parts":[["2020"]]},"page":"28-33","publisher":"Elsevier Inc.","title":"Psychological flexibility in the context of COVID-19 adversity: Associations with distress","type":"article-journal","volume":"18"},"uris":["http://www.mendeley.com/documents/?uuid=b6e8e87a-19ce-4e96-a9c8-b3e75d372156"]}],"mendeley":{"formattedCitation":"(Kroska et al., 2020)","plainTextFormattedCitation":"(Kroska et al., 2020)","previouslyFormattedCitation":"(Kroska et al., 2020)"},"properties":{"noteIndex":0},"schema":"https://github.com/citation-style-language/schema/raw/master/csl-citation.json"}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(Kroska et al., 2020)</w:t>
      </w:r>
      <w:r w:rsidRPr="00C04977">
        <w:rPr>
          <w:rFonts w:ascii="Book Antiqua" w:hAnsi="Book Antiqua" w:cs="Times New Roman"/>
        </w:rPr>
        <w:fldChar w:fldCharType="end"/>
      </w:r>
      <w:r w:rsidRPr="00C04977">
        <w:rPr>
          <w:rFonts w:ascii="Book Antiqua" w:hAnsi="Book Antiqua" w:cs="Times New Roman"/>
        </w:rPr>
        <w:t xml:space="preserve">. Orang - orang yang sukses dalam mencapai prestasi sama-sama memiliki dorongan yang mendalam untuk berjuang, untuk maju, untuk meraih cita-cita dan mewujudkan impian. Bagi banyak siswa, keputusasaan ditentukan sangat dini dalam hidupnya. Sering sekali apa yang seharusnya telah terjadi tidak pernah mendapat peluang. Zaman sekarang penuh dengan paradox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{"citationItems":[{"id":"ITEM-1","itemData":{"DOI":"10.1016/j.tsc.2020.100709","ISSN":"18711871","abstract":"On a sample of 552 high school students, the present study investigated the relationships between perceived parenting dimensions, and children's creative abilities assessed by the Test for Creative Thinking-Drawing Production (TCT-DP) as well as their creative self-beliefs (i.e. creative self-efficacy and creative personal identity). Results indicated that the dimension of parental child acceptance and autonomy support were weakly but positively related to children's creative self-efficacy and creative personal identity. However, no statistically significant relationship was found between parental autonomy support and children's creative abilities. In this sense, this study provides preliminary evidence for the effect of parental style dimensions on children's creative self-beliefs. Implications and limitations of this study were discussed. Recommendations are also given to researchers for conducting further studies on the topic.","author":[{"dropping-particle":"","family":"Gralewski","given":"Jacek","non-dropping-particle":"","parse-names":false,"suffix":""},{"dropping-particle":"","family":"Jankowska","given":"Dorota Maria","non-dropping-particle":"","parse-names":false,"suffix":""}],"container-title":"Thinking Skills and Creativity","id":"ITEM-1","issue":"May","issued":{"date-parts":[["2020"]]},"page":"100709","publisher":"Elsevier Ltd","title":"Do parenting styles matter? Perceived dimensions of parenting styles, creative abilities and creative self-beliefs in adolescents","type":"article-journal","volume":"38"},"uris":["http://www.mendeley.com/documents/?uuid=ffa576c2-7715-43b0-a0cd-9384e9324e49"]}],"mendeley":{"formattedCitation":"(Gralewski &amp; Jankowska, 2020)","plainTextFormattedCitation":"(Gralewski &amp; Jankowska, 2020)","previouslyFormattedCitation":"(Gralewski &amp; Jankowska, 2020)"},"properties":{"noteIndex":0},"schema":"https://github.com/citation-style-language/schema/raw/master/csl-citation.json"}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(Gralewski &amp; Jankowska, 2020)</w:t>
      </w:r>
      <w:r w:rsidRPr="00C04977">
        <w:rPr>
          <w:rFonts w:ascii="Book Antiqua" w:hAnsi="Book Antiqua" w:cs="Times New Roman"/>
        </w:rPr>
        <w:fldChar w:fldCharType="end"/>
      </w:r>
      <w:r w:rsidRPr="00C04977">
        <w:rPr>
          <w:rFonts w:ascii="Book Antiqua" w:hAnsi="Book Antiqua" w:cs="Times New Roman"/>
        </w:rPr>
        <w:t xml:space="preserve">. Di satu pihak ada janji teknologi untuk memperbaiki kehidupan. Di pihak lain ada ketidakselarasan dalam masyarakat yang menimbulkan kepiluan, ada jurang ekonomi yang semakin besar di antara golongangolongan, ada persaingan yang tiada habis-habisnya, dan ada kebutuhankebutuhan manusia yang pada umumnya tidak terpenuhi. Begitu pula yang terjadi pada remaja dan anak – anak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{"citationItems":[{"id":"ITEM-1","itemData":{"DOI":"10.1016/j.mhp.2020.200193","ISSN":"22126570","abstract":"Background: Depression often emerges during early adolescence and is one of the most common mental health problems. The present study investigated the influence of parenting styles and parental depression on depressive symptoms during adolescence and young adulthood, using both a cross-sectional and a longitudinal approach. Methods: Data were obtained from the Survey of Adolescent Life in Västmanland Cohort study and comprised 1603 adolescents who completed questionnaires at two time points (ages 16–18 and ages 19–21). Results: In the cross-sectional approach, a positive parenting style (Warmth, Structure, Autonomy support) was associated with less depressive symptoms, and a negative parenting style (Rejection, Chaos, Coercion) and parental depression were associated with more depressive symptoms in 16–18-year-old adolescents. The effect of parental depression was stronger among adolescent females. In the longitudinal approach, a protective effect was found, where a positive parenting style at adolescent ages 16–18 was associated with less depressive symptoms at ages 19–21, even when controlling for initial depressive symptomatology. Conclusions: These findings may make an important contribution to treatment programmes and family-based prevention strategies related to adolescent depressive symptomatology, particularly regarding the potential long-term protective effects of positive parenting style in middle and late adolescence.","author":[{"dropping-particle":"","family":"Rebecka","given":"Keijser","non-dropping-particle":"","parse-names":false,"suffix":""},{"dropping-particle":"","family":"Susanne","given":"Olofsdotter","non-dropping-particle":"","parse-names":false,"suffix":""},{"dropping-particle":"","family":"Kent","given":"Nilsson W.","non-dropping-particle":"","parse-names":false,"suffix":""},{"dropping-particle":"","family":"Cecilia","given":"Åslund","non-dropping-particle":"","parse-names":false,"suffix":""}],"container-title":"Mental Health and Prevention","id":"ITEM-1","issue":"October","issued":{"date-parts":[["2020"]]},"page":"200193","publisher":"Elsevier GmbH","title":"The influence of parenting styles and parental depression on adolescent depressive symptoms: A cross-sectional and longitudinal approach","type":"article-journal","volume":"20"},"uris":["http://www.mendeley.com/documents/?uuid=f3e4e016-7d93-470b-857a-46b48c561df8"]}],"mendeley":{"formattedCitation":"(Rebecka et al., 2020)","plainTextFormattedCitation":"(Rebecka et al., 2020)","previouslyFormattedCitation":"(Rebecka et al., 2020)"},"properties":{"noteIndex":0},"schema":"https://github.com/citation-style-language/schema/raw/master/csl-citation.json"}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(Rebecka et al., 2020)</w:t>
      </w:r>
      <w:r w:rsidRPr="00C04977">
        <w:rPr>
          <w:rFonts w:ascii="Book Antiqua" w:hAnsi="Book Antiqua" w:cs="Times New Roman"/>
        </w:rPr>
        <w:fldChar w:fldCharType="end"/>
      </w:r>
      <w:r w:rsidRPr="00C04977">
        <w:rPr>
          <w:rFonts w:ascii="Book Antiqua" w:hAnsi="Book Antiqua" w:cs="Times New Roman"/>
        </w:rPr>
        <w:t>.</w:t>
      </w:r>
    </w:p>
    <w:p w14:paraId="58140C5E" w14:textId="77777777" w:rsidR="00C04977" w:rsidRPr="00C04977" w:rsidRDefault="00C04977" w:rsidP="00C04977">
      <w:pPr>
        <w:spacing w:after="0"/>
        <w:ind w:firstLine="709"/>
        <w:jc w:val="both"/>
        <w:rPr>
          <w:rFonts w:ascii="Book Antiqua" w:hAnsi="Book Antiqua" w:cs="Times New Roman"/>
        </w:rPr>
      </w:pPr>
      <w:r w:rsidRPr="00C04977">
        <w:rPr>
          <w:rFonts w:ascii="Book Antiqua" w:hAnsi="Book Antiqua" w:cs="Times New Roman"/>
        </w:rPr>
        <w:lastRenderedPageBreak/>
        <w:t xml:space="preserve">Pada umumnya ketika siswa dihadapkan pada kesulitan dan tantangan hidup, mereka menjadi loyo dan tidak berdaya, gampang menyerah sebelum berperang. Inilah tanda-tanda </w:t>
      </w:r>
      <w:r w:rsidRPr="00C04977">
        <w:rPr>
          <w:rFonts w:ascii="Book Antiqua" w:hAnsi="Book Antiqua" w:cs="Times New Roman"/>
          <w:i/>
        </w:rPr>
        <w:t>Adversity Quotient</w:t>
      </w:r>
      <w:r w:rsidRPr="00C04977">
        <w:rPr>
          <w:rFonts w:ascii="Book Antiqua" w:hAnsi="Book Antiqua" w:cs="Times New Roman"/>
        </w:rPr>
        <w:t xml:space="preserve"> rendah. Menurut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{"citationItems":[{"id":"ITEM-1","itemData":{"DOI":"10.1016/j.chiabu.2020.104688","ISSN":"18737757","PMID":"32854056","abstract":"Background: Child protective services (CPS) case records contain a vast amount of narrative information that is underutilized for estimating risk, conceptualizing family needs, and planning for services. Objective: The current study applied a novel method for quantifying family-level severity of maltreatment and non-maltreatment-related adversity types to narrative information reflecting a family's full CPS history. Participants and setting: Cases were randomly sampled (N = 100) from two regions of Connecticut that were referred over a specified 6-month period. Methods: De-identified data were extracted through comprehensive chart review of electronic and paper case records. The Yale-Vermont Adversity in Childhood Scale (Y-VACS; Holbrook et al., 2015) was used to quantify adversity severity across a range of intrafamilial and extrafamilial experiences. Results: Several family-level adversity severity ratings were associated with administrative data on allegations and investigative outcomes. Poly-victimization (β =.47, p &lt;.001) and poly-deprivation (β =.25, p =.005) significantly predicted total allegation types and total substantiation types (β =.30, p =.002; β =.26, p =.008, respectively) across the case history. Poly-victimization significantly predicted the presence of a new allegation within 12 months of the index report, OR = 1.72, SE =.25, p =.027. Conclusions: Findings support the feasibility of a novel method that uses narrative case record information to quantify severity of maltreatment and non-maltreatment-related adversity types, as well as cumulative measures of threat- and deprivation-based adversities at the family level. Implications for utilizing case record data to inform CPS intervention are discussed.","author":[{"dropping-particle":"","family":"O'Dea","given":"Nicole","non-dropping-particle":"","parse-names":false,"suffix":""},{"dropping-particle":"","family":"Clough","given":"Meghan","non-dropping-particle":"","parse-names":false,"suffix":""},{"dropping-particle":"","family":"Beebe","given":"Rebecca","non-dropping-particle":"","parse-names":false,"suffix":""},{"dropping-particle":"","family":"DiVietro","given":"Susan","non-dropping-particle":"","parse-names":false,"suffix":""},{"dropping-particle":"","family":"Lapidus","given":"Garry","non-dropping-particle":"","parse-names":false,"suffix":""},{"dropping-particle":"","family":"Grasso","given":"Damion J.","non-dropping-particle":"","parse-names":false,"suffix":""}],"container-title":"Child Abuse and Neglect","id":"ITEM-1","issue":"December 2019","issued":{"date-parts":[["2020"]]},"page":"104688","publisher":"Elsevier Ltd","title":"Using Child Protective Services Case Record Data to Quantify Family-Level Severity of Adversity Types, Poly-victimization, and Poly-deprivation","type":"article-journal","volume":"108"},"uris":["http://www.mendeley.com/documents/?uuid=89f5f1a1-4cbb-4b75-b481-c998d2367593"]}],"mendeley":{"formattedCitation":"(O’Dea et al., 2020)","plainTextFormattedCitation":"(O’Dea et al., 2020)","previouslyFormattedCitation":"(O’Dea et al., 2020)"},"properties":{"noteIndex":0},"schema":"https://github.com/citation-style-language/schema/raw/master/csl-citation.json"}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(O’Dea et al., 2020)</w:t>
      </w:r>
      <w:r w:rsidRPr="00C04977">
        <w:rPr>
          <w:rFonts w:ascii="Book Antiqua" w:hAnsi="Book Antiqua" w:cs="Times New Roman"/>
        </w:rPr>
        <w:fldChar w:fldCharType="end"/>
      </w:r>
      <w:r w:rsidRPr="00C04977">
        <w:rPr>
          <w:rFonts w:ascii="Book Antiqua" w:hAnsi="Book Antiqua" w:cs="Times New Roman"/>
        </w:rPr>
        <w:t xml:space="preserve"> bahwa kesuksesan ditentukan oleh </w:t>
      </w:r>
      <w:r w:rsidRPr="00C04977">
        <w:rPr>
          <w:rFonts w:ascii="Book Antiqua" w:hAnsi="Book Antiqua" w:cs="Times New Roman"/>
          <w:i/>
        </w:rPr>
        <w:t>Adversity Quotient</w:t>
      </w:r>
      <w:r w:rsidRPr="00C04977">
        <w:rPr>
          <w:rFonts w:ascii="Book Antiqua" w:hAnsi="Book Antiqua" w:cs="Times New Roman"/>
        </w:rPr>
        <w:t xml:space="preserve"> yakni kemampuan bertahan menghadapi kesulitan dan kemampuan untuk mengatasinya”. Sejalan dengan itu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{"citationItems":[{"id":"ITEM-1","itemData":{"DOI":"10.1016/j.ejtd.2018.12.001","ISSN":"24687499","abstract":"Objective The study aimed to examine the relationship between difficulties in emotion regulation, different types of psychopathology and negative life experiences in a sample of young women. A question was asked about the co-occurrence of different types of adversities and about the psychopathology profile depending on the type of adversities. Method Five hundred and two women aged 18–25years were examined with use of questionnaires measuring difficulties in emotion regulation, symptoms of psychopathology (including problem drinking) and different types of adverse experiences (including interpersonal childhood adversities). Results Interpersonal childhood adversities, but not traumatic events that took place also after 15years of age, turned out to be a risk factor for difficulties in emotion regulation. Lifetime traumatic events independently predicted symptoms of general psychopathology and posttraumatic symptoms. Emotion regulation deficits turned out to be the main mediator between childhood adversities and various symptoms of psychopathology, including problem drinking. Results of cluster analysis along with discriminant function analysis revealed that childhood sexual trauma was the most differentiating adversity in terms of severity of posttraumatic symptoms and problem drinking. Conclusion The results of this study indicate that symptom profiles depend on the type of adversities experienced in childhood. Of the various adversities examined, sexual abuse is associated with the most severe symptomatology. However, regardless of the type of childhood adversities, the risk of psychopathology, including problem drinking, is mainly increased by difficulties in emotion regulation. These problems are the main, transdiagnostic risk factor underlying psychopathology reported by young women.","author":[{"dropping-particle":"","family":"Dragan","given":"M.","non-dropping-particle":"","parse-names":false,"suffix":""}],"container-title":"European Journal of Trauma &amp; Dissociation","id":"ITEM-1","issue":"1","issued":{"date-parts":[["2020"]]},"page":"100091","publisher":"Elsevier Masson SAS","title":"Adverse experiences, emotional regulation difficulties and psychopathology in a sample of young women: Model of associations and results of cluster and discriminant function analysis","type":"article-journal","volume":"4"},"uris":["http://www.mendeley.com/documents/?uuid=708acef2-be72-4134-b167-9f716e3a17f1"]}],"mendeley":{"formattedCitation":"(Dragan, 2020)","plainTextFormattedCitation":"(Dragan, 2020)","previouslyFormattedCitation":"(Dragan, 2020)"},"properties":{"noteIndex":0},"schema":"https://github.com/citation-style-language/schema/raw/master/csl-citation.json"}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(Dragan, 2020)</w:t>
      </w:r>
      <w:r w:rsidRPr="00C04977">
        <w:rPr>
          <w:rFonts w:ascii="Book Antiqua" w:hAnsi="Book Antiqua" w:cs="Times New Roman"/>
        </w:rPr>
        <w:fldChar w:fldCharType="end"/>
      </w:r>
      <w:r w:rsidRPr="00C04977">
        <w:rPr>
          <w:rFonts w:ascii="Book Antiqua" w:hAnsi="Book Antiqua" w:cs="Times New Roman"/>
        </w:rPr>
        <w:t xml:space="preserve"> mengemukakan pendapat bahwa </w:t>
      </w:r>
      <w:r w:rsidRPr="00C04977">
        <w:rPr>
          <w:rFonts w:ascii="Book Antiqua" w:hAnsi="Book Antiqua" w:cs="Times New Roman"/>
          <w:i/>
        </w:rPr>
        <w:t xml:space="preserve">Adversity qoutient </w:t>
      </w:r>
      <w:r w:rsidRPr="00C04977">
        <w:rPr>
          <w:rFonts w:ascii="Book Antiqua" w:hAnsi="Book Antiqua" w:cs="Times New Roman"/>
        </w:rPr>
        <w:t xml:space="preserve">adalah teori yang ampuh, sekaligus ukuran yang bermakna dan merupakan seperangkat instrumen yang telah diasah untuk membantu anak supaya tetap gigih melalui saat-saat yang penuh dengan tantangan”. </w:t>
      </w:r>
      <w:r w:rsidRPr="00C04977">
        <w:rPr>
          <w:rFonts w:ascii="Book Antiqua" w:hAnsi="Book Antiqua" w:cs="Times New Roman"/>
          <w:i/>
        </w:rPr>
        <w:t>Adversity Quotient</w:t>
      </w:r>
      <w:r w:rsidRPr="00C04977">
        <w:rPr>
          <w:rFonts w:ascii="Book Antiqua" w:hAnsi="Book Antiqua" w:cs="Times New Roman"/>
        </w:rPr>
        <w:t xml:space="preserve"> akan merangsang siswa untuk memikirkan kembali rumusan keberhasilan dalam mencapai prestasi. </w:t>
      </w:r>
      <w:r w:rsidRPr="00C04977">
        <w:rPr>
          <w:rFonts w:ascii="Book Antiqua" w:hAnsi="Book Antiqua" w:cs="Times New Roman"/>
          <w:i/>
        </w:rPr>
        <w:t>Adversity Quotient</w:t>
      </w:r>
      <w:r w:rsidRPr="00C04977">
        <w:rPr>
          <w:rFonts w:ascii="Book Antiqua" w:hAnsi="Book Antiqua" w:cs="Times New Roman"/>
        </w:rPr>
        <w:t xml:space="preserve"> mengungkap misteri pemberdayaan dan motivasi manusia, sambil menanamkan ke dalam diri harapan-harapan, prinsipprinsip, dan metode-metode yang penting bagi bidang kehidupan dan pendidikan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{"citationItems":[{"id":"ITEM-1","itemData":{"DOI":"10.1016/j.bpsc.2020.11.003","ISSN":"24519022","abstract":"Maternal childhood adversity associates with frontoamygdala connectivity in neonates, Biological Psychiatry: Cognitive Neuroscience and Neuroimaging (2020), doi: https://doi.org/10.1016/ j.bpsc.2020.11.003. This is a PDF file of an article that has undergone enhancements after acceptance, such as the addition of a cover page and metadata, and formatting for readability, but it is not yet the definitive version of record. This version will undergo additional copyediting, typesetting and review before it is published in its final form, but we are providing this version to give early visibility of the article. Please note that, during the production process, errors may be discovered which could affect the content, and all legal disclaimers that apply to the journal pertain.","author":[{"dropping-particle":"","family":"Hendrix","given":"Cassandra L.","non-dropping-particle":"","parse-names":false,"suffix":""},{"dropping-particle":"","family":"Dilks","given":"Daniel D.","non-dropping-particle":"","parse-names":false,"suffix":""},{"dropping-particle":"","family":"McKenna","given":"Brooke G.","non-dropping-particle":"","parse-names":false,"suffix":""},{"dropping-particle":"","family":"Dunlop","given":"Anne L.","non-dropping-particle":"","parse-names":false,"suffix":""},{"dropping-particle":"","family":"Corwin","given":"Elizabeth J.","non-dropping-particle":"","parse-names":false,"suffix":""},{"dropping-particle":"","family":"Brennan","given":"Patricia A.","non-dropping-particle":"","parse-names":false,"suffix":""}],"container-title":"Biological Psychiatry: Cognitive Neuroscience and Neuroimaging","id":"ITEM-1","issued":{"date-parts":[["2020"]]},"publisher":"Society of Biological Psychiatry","title":"Maternal childhood adversity associates with frontoamygdala connectivity in neonates","type":"article-journal"},"uris":["http://www.mendeley.com/documents/?uuid=be6009b8-0b70-4b1b-b118-ad9cbe4a4f5e"]}],"mendeley":{"formattedCitation":"(Hendrix et al., 2020)","plainTextFormattedCitation":"(Hendrix et al., 2020)","previouslyFormattedCitation":"(Hendrix et al., 2020)"},"properties":{"noteIndex":0},"schema":"https://github.com/citation-style-language/schema/raw/master/csl-citation.json"}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(Hendrix et al., 2020)</w:t>
      </w:r>
      <w:r w:rsidRPr="00C04977">
        <w:rPr>
          <w:rFonts w:ascii="Book Antiqua" w:hAnsi="Book Antiqua" w:cs="Times New Roman"/>
        </w:rPr>
        <w:fldChar w:fldCharType="end"/>
      </w:r>
      <w:r w:rsidRPr="00C04977">
        <w:rPr>
          <w:rFonts w:ascii="Book Antiqua" w:hAnsi="Book Antiqua" w:cs="Times New Roman"/>
        </w:rPr>
        <w:t>.</w:t>
      </w:r>
    </w:p>
    <w:p w14:paraId="142B4792" w14:textId="77777777" w:rsidR="00C04977" w:rsidRPr="00C04977" w:rsidRDefault="00C04977" w:rsidP="00C04977">
      <w:pPr>
        <w:spacing w:after="0"/>
        <w:ind w:firstLine="709"/>
        <w:jc w:val="both"/>
        <w:rPr>
          <w:rFonts w:ascii="Book Antiqua" w:hAnsi="Book Antiqua" w:cs="Times New Roman"/>
        </w:rPr>
      </w:pPr>
      <w:r w:rsidRPr="00C04977">
        <w:rPr>
          <w:rFonts w:ascii="Book Antiqua" w:hAnsi="Book Antiqua" w:cs="Times New Roman"/>
        </w:rPr>
        <w:t xml:space="preserve">Pembelajaran pada dasarnya merupakan suatu upaya yang dilakukan oleh pendidik atau secara sengaja dan sistematis untuk mengembangkan segenap potensi yang dimiliki oleh peserta didik.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{"citationItems":[{"id":"ITEM-1","itemData":{"author":[{"dropping-particle":"","family":"Asri","given":"I G A A Sri","non-dropping-particle":"","parse-names":false,"suffix":""}],"id":"ITEM-1","issue":"1","issued":{"date-parts":[["2018"]]},"page":"1-9","title":"Hubungan Pola Asuh Terhadap Perkembangan Anak Usia Dini","type":"article-journal","volume":"2"},"uris":["http://www.mendeley.com/documents/?uuid=49230e80-0b4d-491c-b2d4-3e1fa0cf9cf1"]}],"mendeley":{"formattedCitation":"(Asri, 2018)","plainTextFormattedCitation":"(Asri, 2018)","previouslyFormattedCitation":"(Asri, 2018)"},"properties":{"noteIndex":0},"schema":"https://github.com/citation-style-language/schema/raw/master/csl-citation.json"}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(Asri, 2018)</w:t>
      </w:r>
      <w:r w:rsidRPr="00C04977">
        <w:rPr>
          <w:rFonts w:ascii="Book Antiqua" w:hAnsi="Book Antiqua" w:cs="Times New Roman"/>
        </w:rPr>
        <w:fldChar w:fldCharType="end"/>
      </w:r>
      <w:r w:rsidRPr="00C04977">
        <w:rPr>
          <w:rFonts w:ascii="Book Antiqua" w:hAnsi="Book Antiqua" w:cs="Times New Roman"/>
        </w:rPr>
        <w:t xml:space="preserve"> Di sekolah, segala upaya dilakukan oleh guru selaku penanggungjawab suatu proses pembelajaran dengan maksud untuk menggali dan mengoptimalkan perkembangan potensi dan kemampuan yang dimiliki peserta didiknya, baik dari aspek kognitif, afektif, maupun psikomotorik. Begitu pula dengan peserta didik akan selalu berusaha agar mencapai hasil belajar yang optimal untuk mencapai prestasi. Prestasi belajar biasanya dinyatakan dengan angka dalam buku laporan pendidikan siswa. Sehubungan dengan itu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{"citationItems":[{"id":"ITEM-1","itemData":{"author":[{"dropping-particle":"","family":"Samudra","given":"","non-dropping-particle":"","parse-names":false,"suffix":""}],"id":"ITEM-1","issue":"1","issued":{"date-parts":[["2016"]]},"page":"440-448","title":"Hubungan Motivasi Belajar dan Minat Belajar terhadap Prestasi Belajar Mahasiswa Mata Kuliah Pengantar Manajemen ( Studi kasus Mahasiswa Tingkat I EKM A Semester II )","type":"article-journal","volume":"5"},"uris":["http://www.mendeley.com/documents/?uuid=4b1d0561-5738-404f-add7-8d0c3a7f19db"]}],"mendeley":{"formattedCitation":"(Samudra, 2016)","plainTextFormattedCitation":"(Samudra, 2016)","previouslyFormattedCitation":"(Samudra, 2016)"},"properties":{"noteIndex":0},"schema":"https://github.com/citation-style-language/schema/raw/master/csl-citation.json"}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(Samudra, 2016)</w:t>
      </w:r>
      <w:r w:rsidRPr="00C04977">
        <w:rPr>
          <w:rFonts w:ascii="Book Antiqua" w:hAnsi="Book Antiqua" w:cs="Times New Roman"/>
        </w:rPr>
        <w:fldChar w:fldCharType="end"/>
      </w:r>
      <w:r w:rsidRPr="00C04977">
        <w:rPr>
          <w:rFonts w:ascii="Book Antiqua" w:hAnsi="Book Antiqua" w:cs="Times New Roman"/>
        </w:rPr>
        <w:t xml:space="preserve">, Nilai yang tercantum dalam rapot merupakan perumusan terakhir yang diberikan guru mengenai kemajuan atau prestasi belajar siswa selama masa tertentu. Namun Keanekaragaman tingkat penguasaan atau daya serap siswa dalam menerima pelajaran tentunya berpengaruh pada hasil belajar yang dicapai. Dengan kata lain, terdapat perbedaan cepat atau lambatnya daya serap siswa yang diperolehnya itu bergantung pada motivasi belajar yang dimiliki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{"citationItems":[{"id":"ITEM-1","itemData":{"author":[{"dropping-particle":"","family":"Sunarty","given":"Kustiah","non-dropping-particle":"","parse-names":false,"suffix":""}],"id":"ITEM-1","issue":"2","issued":{"date-parts":[["2016"]]},"page":"152-160","title":"Hubungan pola asuh orangtua dan kemandirian anak","type":"article-journal","volume":"2"},"uris":["http://www.mendeley.com/documents/?uuid=c74950bd-5f3c-4178-93b0-41c0ae12f038"]}],"mendeley":{"formattedCitation":"(Sunarty, 2016)","plainTextFormattedCitation":"(Sunarty, 2016)","previouslyFormattedCitation":"(Sunarty, 2016)"},"properties":{"noteIndex":0},"schema":"https://github.com/citation-style-language/schema/raw/master/csl-citation.json"}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(Sunarty, 2016)</w:t>
      </w:r>
      <w:r w:rsidRPr="00C04977">
        <w:rPr>
          <w:rFonts w:ascii="Book Antiqua" w:hAnsi="Book Antiqua" w:cs="Times New Roman"/>
        </w:rPr>
        <w:fldChar w:fldCharType="end"/>
      </w:r>
      <w:r w:rsidRPr="00C04977">
        <w:rPr>
          <w:rFonts w:ascii="Book Antiqua" w:hAnsi="Book Antiqua" w:cs="Times New Roman"/>
        </w:rPr>
        <w:t xml:space="preserve">. </w:t>
      </w:r>
    </w:p>
    <w:p w14:paraId="5B656236" w14:textId="77777777" w:rsidR="00C04977" w:rsidRPr="00C04977" w:rsidRDefault="00C04977" w:rsidP="00C04977">
      <w:pPr>
        <w:spacing w:after="0"/>
        <w:ind w:firstLine="709"/>
        <w:jc w:val="both"/>
        <w:rPr>
          <w:rFonts w:ascii="Book Antiqua" w:hAnsi="Book Antiqua" w:cs="Times New Roman"/>
        </w:rPr>
      </w:pPr>
      <w:r w:rsidRPr="00C04977">
        <w:rPr>
          <w:rFonts w:ascii="Book Antiqua" w:hAnsi="Book Antiqua" w:cs="Times New Roman"/>
        </w:rPr>
        <w:t xml:space="preserve">Orang tua sebagai pendidik utama dalam keluarga memegang peranan penting dalam menciptakan kesejahteraan melalui bimbingan dan pendidikan serta menanamkan kepribadian yang baik kepada anakanaknya. Cara orang tua mendidik akan sangat berpengaruh terhadap adversity qoutient anak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{"citationItems":[{"id":"ITEM-1","itemData":{"DOI":"10.1016/j.jad.2020.12.031","ISSN":"15732517","PMID":"33341646","abstract":"Background: Childhood adversity is related to poor mental health outcomes in adulthood. However, few studies have examined the epidemiology of major childhood adversities and their effects on depression and suicide attempts in Chinese college students. Methods: 2755 students completed a questionnaire of 10 items about major childhood adversities, one item about suicide attempts, and the Zung self-rating depression scale. Single-factor analysis and multivariate logistic regression analysis were used to explore the association between different types of adversity/different numbers of types of adversity and suicide attempts/depression. Results: 1916 (69.55%) respondents reported they had experienced major childhood adversities. Multivariate logistic regression analysis showed that witnessing a crash or murder, abuse by family members, and abuse by other adults or children were positively related to suicide attempts (OR: 1.712-2.222, all p&lt;0.05). Abuse by other adults or children (OR=1.648, p&lt;0.05) and serious injury during childhood (OR=1.494, p&lt;0.05) were risk factors for depression. Those who had experienced 3 or more types of adversity were more likely to have depression (OR=1.806, p=0.002)and to have committed suicide attempts (OR= 3.307,p&lt;0.001)compared to those without any adversities. Conclusion: The incidence of major childhood adversity is high among Chinese college students. Childhood adversity increases the risk of depression and suicide attempts. As the number of types of childhood adversity experienced by an individual increases, their risk ratio for suicide attempts and depression increases. To promote mental health, special attention should be given to those who have suffered childhood adversities.","author":[{"dropping-particle":"","family":"He","given":"Yuqiong","non-dropping-particle":"","parse-names":false,"suffix":""},{"dropping-particle":"","family":"Zhang","given":"Yaru","non-dropping-particle":"","parse-names":false,"suffix":""},{"dropping-particle":"","family":"Cui","given":"Xilong","non-dropping-particle":"","parse-names":false,"suffix":""},{"dropping-particle":"","family":"Zhong","given":"Yan","non-dropping-particle":"","parse-names":false,"suffix":""},{"dropping-particle":"","family":"He","given":"Wenjuan","non-dropping-particle":"","parse-names":false,"suffix":""},{"dropping-particle":"","family":"Liu","given":"Jianbo","non-dropping-particle":"","parse-names":false,"suffix":""},{"dropping-particle":"","family":"Luo","given":"Xuerong","non-dropping-particle":"","parse-names":false,"suffix":""},{"dropping-particle":"","family":"Gong","given":"Jingbo","non-dropping-particle":"","parse-names":false,"suffix":""}],"container-title":"Journal of Affective Disorders","id":"ITEM-1","issued":{"date-parts":[["2021"]]},"page":"331-337","publisher":"Elsevier B.V.","title":"Epidemiology of major childhood adversities and its effect on depression and suicide attempts in Chinese college students","type":"article-journal","volume":"281"},"uris":["http://www.mendeley.com/documents/?uuid=26a069cf-8217-49db-8b2a-12dd6db7db77"]}],"mendeley":{"formattedCitation":"(He et al., 2021)","plainTextFormattedCitation":"(He et al., 2021)","previouslyFormattedCitation":"(He et al., 2021)"},"properties":{"noteIndex":0},"schema":"https://github.com/citation-style-language/schema/raw/master/csl-citation.json"}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(He et al., 2021)</w:t>
      </w:r>
      <w:r w:rsidRPr="00C04977">
        <w:rPr>
          <w:rFonts w:ascii="Book Antiqua" w:hAnsi="Book Antiqua" w:cs="Times New Roman"/>
        </w:rPr>
        <w:fldChar w:fldCharType="end"/>
      </w:r>
      <w:r w:rsidRPr="00C04977">
        <w:rPr>
          <w:rFonts w:ascii="Book Antiqua" w:hAnsi="Book Antiqua" w:cs="Times New Roman"/>
        </w:rPr>
        <w:t xml:space="preserve">. Untuk itu diperlukan pola asuh yang baik dimana orang tua memberikan bimbingan dan mengajarkan keterampilan-keterampilan dalam menghadapi kesulitan hidup sebagai bekal anak dalam menghadapi tantangan globalisasi yang semakin hari semakin sulit. Lingkungan meliputi: lingkungan keluarga, lingkungan tempat tinggal. lingkungan sekolah, dan lingkungan masyarakat. Dalam lingkungan keluarga, orang tua diharapkan bisa menjadi panutan bagi anak-anak mereka. Keluarga menjadi tempat yang utama dalam mendidik anak dari lahir sampai menuju kedewasaannya. Karena keluarga merupakan pengaruh yang sangat penting dalam membentuk karakter anak. Segala tingkah laku yang diperlihatkan baik itu secara halus maupun kasar menjadi faktor pendukung pembentukan tersebut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{"citationItems":[{"id":"ITEM-1","itemData":{"DOI":"10.1016/j.jbusvent.2019.105951","ISSN":"08839026","abstract":"Corporate venture development suggests that internal corporate ventures (ICVs) must become proficient learners if they are to cope successfully with the uncertainty inherent to their operations. Accordingly, the parent corporations in which ICVs operate are challenged to identify and enact appropriate parenting styles that foster their ICVs' learning proficiency. The current research of 145 ICVs in 72 corporations builds on parenting theory to theorize that ICVs demonstrate the greatest learning proficiency when corporate parents give them a “leash length”—indicated via observed levels of top management support and operational decision-making autonomy—depending on the degree of strategic clarity under which the ICV was founded.","author":[{"dropping-particle":"","family":"Covin","given":"Jeffrey G.","non-dropping-particle":"","parse-names":false,"suffix":""},{"dropping-particle":"","family":"Garrett","given":"Robert P.","non-dropping-particle":"","parse-names":false,"suffix":""},{"dropping-particle":"","family":"Kuratko","given":"Donald F.","non-dropping-particle":"","parse-names":false,"suffix":""},{"dropping-particle":"","family":"Shepherd","given":"Dean A.","non-dropping-particle":"","parse-names":false,"suffix":""}],"container-title":"Journal of Business Venturing","id":"ITEM-1","issue":"4","issued":{"date-parts":[["2020"]]},"page":"105951","publisher":"Elsevier","title":"Short leash or long leash? Parenting style, initial strategic clarity, and the development of venture learning proficiency","type":"article-journal","volume":"35"},"uris":["http://www.mendeley.com/documents/?uuid=1c56dc41-6f86-4656-8cf3-3e63e16286f3"]}],"mendeley":{"formattedCitation":"(Covin et al., 2020)","plainTextFormattedCitation":"(Covin et al., 2020)","previouslyFormattedCitation":"(Covin et al., 2020)"},"properties":{"noteIndex":0},"schema":"https://github.com/citation-style-language/schema/raw/master/csl-citation.json"}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(Covin et al., 2020)</w:t>
      </w:r>
      <w:r w:rsidRPr="00C04977">
        <w:rPr>
          <w:rFonts w:ascii="Book Antiqua" w:hAnsi="Book Antiqua" w:cs="Times New Roman"/>
        </w:rPr>
        <w:fldChar w:fldCharType="end"/>
      </w:r>
      <w:r w:rsidRPr="00C04977">
        <w:rPr>
          <w:rFonts w:ascii="Book Antiqua" w:hAnsi="Book Antiqua" w:cs="Times New Roman"/>
        </w:rPr>
        <w:t>.</w:t>
      </w:r>
    </w:p>
    <w:p w14:paraId="5B7597F8" w14:textId="77777777" w:rsidR="00C04977" w:rsidRPr="00C04977" w:rsidRDefault="00C04977" w:rsidP="00C04977">
      <w:pPr>
        <w:spacing w:after="0"/>
        <w:ind w:firstLine="709"/>
        <w:jc w:val="both"/>
        <w:rPr>
          <w:rFonts w:ascii="Book Antiqua" w:hAnsi="Book Antiqua" w:cs="Times New Roman"/>
        </w:rPr>
      </w:pPr>
      <w:r w:rsidRPr="00C04977">
        <w:rPr>
          <w:rFonts w:ascii="Book Antiqua" w:hAnsi="Book Antiqua" w:cs="Times New Roman"/>
        </w:rPr>
        <w:t xml:space="preserve">Sekolah merupakan wadah dalam mencari ilmu. Tidak hanya itu, sekolah juga mampu memberikan masukan bagi anak dalam membentuk karakternya. Karena disekolah anak menemukan berbagai macam hal yang bisa mempengaruhi dirinya, terutama pergaulan teman sebaya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{"citationItems":[{"id":"ITEM-1","itemData":{"DOI":"10.1016/S2468-2667(20)30202-4","ISSN":"24682667","PMID":"33120044","abstract":"Background: Children of parents with mental illness are a vulnerable group, but their numbers and their exposure to adversity have rarely been examined. We examined the prevalence of children with parents with mental illness in Sweden, trends in prevalence from 2006 to 2016, and these children's exposure to socioeconomic adversity. Methods: We did a population-based cohort study among all children (aged &lt;18 years) born in Sweden between Jan 1, 1991, and Dec 31, 2011, and their parents, followed up between Jan 1, 2006, and Dec 31, 2016. We included children who were identified in the Total Population Register and linked to their birth parents, excluding adopted children and those with missing information on both birth parents. We used a comprehensive register linkage, Psychiatry Sweden, to follow up for indicators of parental mental illness and socioeconomic adversity. Marginal predictions from a standard logistic regression model were used to estimate age-specific, 3-year period prevalence of parental mental illness and trends in prevalence for 2006–16. Using cross-sectional data on each child, indicators of socioeconomic adversity were compared between children with and without concurrent parental mental illness using logistic regression. Findings: Of 2 198 289 children born in Sweden between Jan 1, 1991, and Dec 31, 2011, we analysed 2 110 988 children (96·03% of the total population). The overall prevalence of children with diagnosed parental mental illness between 2006 and 2016 was 9·53% (95% CI 9·50–9·57). This prevalence increased with age of the child, from 6·72% (6·65–6·78) of the youngest children (0 to &lt;3 years) to 10·80% (10·73–10·89) in the oldest (15 to &lt;18 years). The prevalence of diagnosed parental mental illness increased from 8·62% (8·54–8·69) in 2006–09 up to 10·95% (10·86–11·03) in 2013–16. Children with any type of parental mental illness had markedly higher risk of socioeconomic adversity, such as living in poorer households or living separately from their parents. Interpretation: Currently, 11% of all Swedish children have a parent with a mental illness treated within secondary care. These children have markedly higher risk of broad socioeconomic adversity than do other children. There is a need to understand how socioeconomic adversity and parental mental illness influence vulnerability to poor life outcomes in these children. Funding: European Research Council, National Institute for Health Research, Region Stockholm, and the Sw…","author":[{"dropping-particle":"","family":"Pierce","given":"Matthias","non-dropping-particle":"","parse-names":false,"suffix":""},{"dropping-particle":"","family":"Abel","given":"Kathryn M.","non-dropping-particle":"","parse-names":false,"suffix":""},{"dropping-particle":"","family":"Muwonge","given":"Joseph","non-dropping-particle":"","parse-names":false,"suffix":""},{"dropping-particle":"","family":"Wicks","given":"Susanne","non-dropping-particle":"","parse-names":false,"suffix":""},{"dropping-particle":"","family":"Nevriana","given":"Alicia","non-dropping-particle":"","parse-names":false,"suffix":""},{"dropping-particle":"","family":"Hope","given":"Holly","non-dropping-particle":"","parse-names":false,"suffix":""},{"dropping-particle":"","family":"Dalman","given":"Christina","non-dropping-particle":"","parse-names":false,"suffix":""},{"dropping-particle":"","family":"Kosidou","given":"Kyriaki","non-dropping-particle":"","parse-names":false,"suffix":""}],"container-title":"The Lancet Public Health","id":"ITEM-1","issue":"11","issued":{"date-parts":[["2020"]]},"page":"e583-e591","publisher":"The Author(s). Published by Elsevier Ltd. This is an Open Access article under the CC BY-NC-ND 4.0 license","title":"Prevalence of parental mental illness and association with socioeconomic adversity among children in Sweden between 2006 and 2016: a population-based cohort study","type":"article-journal","volume":"5"},"uris":["http://www.mendeley.com/documents/?uuid=f5eaa976-79e6-4aab-a3bd-5ac6c925fcdc"]}],"mendeley":{"formattedCitation":"(Pierce et al., 2020)","plainTextFormattedCitation":"(Pierce et al., 2020)","previouslyFormattedCitation":"(Pierce et al., 2020)"},"properties":{"noteIndex":0},"schema":"https://github.com/citation-style-language/schema/raw/master/csl-citation.json"}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(Pierce et al., 2020)</w:t>
      </w:r>
      <w:r w:rsidRPr="00C04977">
        <w:rPr>
          <w:rFonts w:ascii="Book Antiqua" w:hAnsi="Book Antiqua" w:cs="Times New Roman"/>
        </w:rPr>
        <w:fldChar w:fldCharType="end"/>
      </w:r>
      <w:r w:rsidRPr="00C04977">
        <w:rPr>
          <w:rFonts w:ascii="Book Antiqua" w:hAnsi="Book Antiqua" w:cs="Times New Roman"/>
        </w:rPr>
        <w:t xml:space="preserve">. Dimana dalam pergaulan tersebut anak mulai mengelompok dan bisa menentukan mana teman yang bisa dijadikan satu kelompok. Sedangkan Lingkungan masyarakat dapat berupa lingkungan tetangga maupun lingkungan </w:t>
      </w:r>
      <w:r w:rsidRPr="00C04977">
        <w:rPr>
          <w:rFonts w:ascii="Book Antiqua" w:hAnsi="Book Antiqua" w:cs="Times New Roman"/>
        </w:rPr>
        <w:lastRenderedPageBreak/>
        <w:t xml:space="preserve">tempat tinggal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{"citationItems":[{"id":"ITEM-1","itemData":{"author":[{"dropping-particle":"","family":"Ruteng","given":"Paulus","non-dropping-particle":"","parse-names":false,"suffix":""}],"id":"ITEM-1","issue":"April","issued":{"date-parts":[["2019"]]},"page":"167-173","title":"ANAK DALAM KELUARGA DI MANGGARAI , NTT","type":"article-journal"},"uris":["http://www.mendeley.com/documents/?uuid=8c234e50-8a2e-4994-bd7b-09aaab779256"]}],"mendeley":{"formattedCitation":"(Ruteng, 2019)","plainTextFormattedCitation":"(Ruteng, 2019)","previouslyFormattedCitation":"(Ruteng, 2019)"},"properties":{"noteIndex":0},"schema":"https://github.com/citation-style-language/schema/raw/master/csl-citation.json"}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(Ruteng, 2019)</w:t>
      </w:r>
      <w:r w:rsidRPr="00C04977">
        <w:rPr>
          <w:rFonts w:ascii="Book Antiqua" w:hAnsi="Book Antiqua" w:cs="Times New Roman"/>
        </w:rPr>
        <w:fldChar w:fldCharType="end"/>
      </w:r>
      <w:r w:rsidRPr="00C04977">
        <w:rPr>
          <w:rFonts w:ascii="Book Antiqua" w:hAnsi="Book Antiqua" w:cs="Times New Roman"/>
        </w:rPr>
        <w:t xml:space="preserve">. Apabila lingkungan yang diterima baik, maka baik pula pengaruhnya. Tetapi apabila lingkungan yang diterima kurang baik, maka buruk pula pengaruh yang didapat pada diri seorang anak </w:t>
      </w:r>
      <w:r w:rsidRPr="00C04977">
        <w:rPr>
          <w:rFonts w:ascii="Book Antiqua" w:hAnsi="Book Antiqua" w:cs="Times New Roman"/>
        </w:rPr>
        <w:fldChar w:fldCharType="begin" w:fldLock="1"/>
      </w:r>
      <w:r w:rsidRPr="00C04977">
        <w:rPr>
          <w:rFonts w:ascii="Book Antiqua" w:hAnsi="Book Antiqua" w:cs="Times New Roman"/>
        </w:rPr>
        <w:instrText>ADDIN CSL_CITATION {"citationItems":[{"id":"ITEM-1","itemData":{"author":[{"dropping-particle":"","family":"Asri","given":"I G A A Sri","non-dropping-particle":"","parse-names":false,"suffix":""}],"id":"ITEM-1","issue":"1","issued":{"date-parts":[["2018"]]},"page":"1-9","title":"Hubungan Pola Asuh Terhadap Perkembangan Anak Usia Dini","type":"article-journal","volume":"2"},"uris":["http://www.mendeley.com/documents/?uuid=49230e80-0b4d-491c-b2d4-3e1fa0cf9cf1"]}],"mendeley":{"formattedCitation":"(Asri, 2018)","plainTextFormattedCitation":"(Asri, 2018)","previouslyFormattedCitation":"(Asri, 2018)"},"properties":{"noteIndex":0},"schema":"https://github.com/citation-style-language/schema/raw/master/csl-citation.json"}</w:instrText>
      </w:r>
      <w:r w:rsidRPr="00C04977">
        <w:rPr>
          <w:rFonts w:ascii="Book Antiqua" w:hAnsi="Book Antiqua" w:cs="Times New Roman"/>
        </w:rPr>
        <w:fldChar w:fldCharType="separate"/>
      </w:r>
      <w:r w:rsidRPr="00C04977">
        <w:rPr>
          <w:rFonts w:ascii="Book Antiqua" w:hAnsi="Book Antiqua" w:cs="Times New Roman"/>
          <w:noProof/>
        </w:rPr>
        <w:t>(Asri, 2018)</w:t>
      </w:r>
      <w:r w:rsidRPr="00C04977">
        <w:rPr>
          <w:rFonts w:ascii="Book Antiqua" w:hAnsi="Book Antiqua" w:cs="Times New Roman"/>
        </w:rPr>
        <w:fldChar w:fldCharType="end"/>
      </w:r>
      <w:r w:rsidRPr="00C04977">
        <w:rPr>
          <w:rFonts w:ascii="Book Antiqua" w:hAnsi="Book Antiqua" w:cs="Times New Roman"/>
        </w:rPr>
        <w:t>.</w:t>
      </w:r>
    </w:p>
    <w:p w14:paraId="6BCAB36A" w14:textId="77777777" w:rsidR="00C04977" w:rsidRDefault="00C04977" w:rsidP="006A1955">
      <w:pPr>
        <w:pStyle w:val="BodyText"/>
        <w:tabs>
          <w:tab w:val="left" w:pos="426"/>
        </w:tabs>
        <w:spacing w:after="0" w:line="240" w:lineRule="auto"/>
        <w:ind w:firstLine="709"/>
        <w:jc w:val="both"/>
        <w:rPr>
          <w:rFonts w:ascii="Book Antiqua" w:hAnsi="Book Antiqua" w:cs="Times New Roman"/>
        </w:rPr>
      </w:pPr>
    </w:p>
    <w:p w14:paraId="7FD9A340" w14:textId="60D04870" w:rsidR="009C4C44" w:rsidRDefault="004716EB" w:rsidP="004716EB">
      <w:pPr>
        <w:spacing w:after="0" w:line="240" w:lineRule="auto"/>
        <w:jc w:val="center"/>
        <w:rPr>
          <w:rFonts w:ascii="Book Antiqua" w:hAnsi="Book Antiqua"/>
          <w:sz w:val="20"/>
          <w:szCs w:val="20"/>
        </w:rPr>
      </w:pPr>
      <w:r>
        <w:rPr>
          <w:noProof/>
        </w:rPr>
        <w:drawing>
          <wp:inline distT="0" distB="0" distL="0" distR="0" wp14:anchorId="07D877BE" wp14:editId="3B5953E1">
            <wp:extent cx="3129548" cy="2345436"/>
            <wp:effectExtent l="0" t="0" r="0" b="0"/>
            <wp:docPr id="2" name="Picture 2" descr="A group of children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children sitting on the floo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53139" cy="2363116"/>
                    </a:xfrm>
                    <a:prstGeom prst="rect">
                      <a:avLst/>
                    </a:prstGeom>
                    <a:noFill/>
                    <a:ln>
                      <a:noFill/>
                    </a:ln>
                  </pic:spPr>
                </pic:pic>
              </a:graphicData>
            </a:graphic>
          </wp:inline>
        </w:drawing>
      </w:r>
    </w:p>
    <w:p w14:paraId="7A621989" w14:textId="3A4B3265" w:rsidR="006F14D5" w:rsidRPr="00C04977" w:rsidRDefault="006F14D5" w:rsidP="006A1955">
      <w:pPr>
        <w:pStyle w:val="BodyText"/>
        <w:spacing w:after="0" w:line="240" w:lineRule="auto"/>
        <w:jc w:val="center"/>
        <w:rPr>
          <w:rFonts w:ascii="Book Antiqua" w:hAnsi="Book Antiqua" w:cs="Times New Roman"/>
          <w:b/>
          <w:bCs/>
          <w:sz w:val="20"/>
          <w:szCs w:val="20"/>
          <w:lang w:val="en-US"/>
        </w:rPr>
      </w:pPr>
      <w:r w:rsidRPr="005474D6">
        <w:rPr>
          <w:rFonts w:ascii="Book Antiqua" w:hAnsi="Book Antiqua" w:cs="Times New Roman"/>
          <w:b/>
          <w:bCs/>
          <w:sz w:val="20"/>
          <w:szCs w:val="20"/>
        </w:rPr>
        <w:t xml:space="preserve">Gambar 1. </w:t>
      </w:r>
      <w:proofErr w:type="spellStart"/>
      <w:r w:rsidR="00847E2A">
        <w:rPr>
          <w:rFonts w:ascii="Book Antiqua" w:hAnsi="Book Antiqua" w:cs="Times New Roman"/>
          <w:b/>
          <w:bCs/>
          <w:sz w:val="20"/>
          <w:szCs w:val="20"/>
          <w:lang w:val="en-US"/>
        </w:rPr>
        <w:t>Kegiatan</w:t>
      </w:r>
      <w:proofErr w:type="spellEnd"/>
      <w:r w:rsidR="00847E2A">
        <w:rPr>
          <w:rFonts w:ascii="Book Antiqua" w:hAnsi="Book Antiqua" w:cs="Times New Roman"/>
          <w:b/>
          <w:bCs/>
          <w:sz w:val="20"/>
          <w:szCs w:val="20"/>
          <w:lang w:val="en-US"/>
        </w:rPr>
        <w:t xml:space="preserve"> </w:t>
      </w:r>
      <w:proofErr w:type="spellStart"/>
      <w:r w:rsidR="00847E2A">
        <w:rPr>
          <w:rFonts w:ascii="Book Antiqua" w:hAnsi="Book Antiqua" w:cs="Times New Roman"/>
          <w:b/>
          <w:bCs/>
          <w:sz w:val="20"/>
          <w:szCs w:val="20"/>
          <w:lang w:val="en-US"/>
        </w:rPr>
        <w:t>Belajar</w:t>
      </w:r>
      <w:proofErr w:type="spellEnd"/>
      <w:r w:rsidR="00847E2A">
        <w:rPr>
          <w:rFonts w:ascii="Book Antiqua" w:hAnsi="Book Antiqua" w:cs="Times New Roman"/>
          <w:b/>
          <w:bCs/>
          <w:sz w:val="20"/>
          <w:szCs w:val="20"/>
          <w:lang w:val="en-US"/>
        </w:rPr>
        <w:t xml:space="preserve"> Anak </w:t>
      </w:r>
      <w:proofErr w:type="spellStart"/>
      <w:r w:rsidR="00847E2A">
        <w:rPr>
          <w:rFonts w:ascii="Book Antiqua" w:hAnsi="Book Antiqua" w:cs="Times New Roman"/>
          <w:b/>
          <w:bCs/>
          <w:sz w:val="20"/>
          <w:szCs w:val="20"/>
          <w:lang w:val="en-US"/>
        </w:rPr>
        <w:t>Usia</w:t>
      </w:r>
      <w:proofErr w:type="spellEnd"/>
      <w:r w:rsidR="00847E2A">
        <w:rPr>
          <w:rFonts w:ascii="Book Antiqua" w:hAnsi="Book Antiqua" w:cs="Times New Roman"/>
          <w:b/>
          <w:bCs/>
          <w:sz w:val="20"/>
          <w:szCs w:val="20"/>
          <w:lang w:val="en-US"/>
        </w:rPr>
        <w:t xml:space="preserve"> Dini</w:t>
      </w:r>
    </w:p>
    <w:p w14:paraId="43C94E42" w14:textId="6CF3A70B" w:rsidR="004716EB" w:rsidRDefault="004716EB" w:rsidP="00AB089F">
      <w:pPr>
        <w:pStyle w:val="BodyText"/>
        <w:spacing w:after="0" w:line="240" w:lineRule="auto"/>
        <w:jc w:val="both"/>
        <w:rPr>
          <w:rFonts w:ascii="Book Antiqua" w:hAnsi="Book Antiqua" w:cs="Times New Roman"/>
          <w:b/>
          <w:sz w:val="26"/>
          <w:szCs w:val="26"/>
        </w:rPr>
      </w:pPr>
    </w:p>
    <w:p w14:paraId="5A5C35B3" w14:textId="77777777" w:rsidR="009D1CF8" w:rsidRDefault="009D1CF8" w:rsidP="00AB089F">
      <w:pPr>
        <w:pStyle w:val="BodyText"/>
        <w:spacing w:after="0" w:line="240" w:lineRule="auto"/>
        <w:jc w:val="both"/>
        <w:rPr>
          <w:rFonts w:ascii="Book Antiqua" w:hAnsi="Book Antiqua" w:cs="Times New Roman"/>
          <w:b/>
          <w:sz w:val="26"/>
          <w:szCs w:val="26"/>
        </w:rPr>
      </w:pPr>
    </w:p>
    <w:p w14:paraId="075A9E92" w14:textId="05986E3A" w:rsidR="00AB089F" w:rsidRPr="00AB089F" w:rsidRDefault="00A119AF" w:rsidP="00AB089F">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Simpulan</w:t>
      </w:r>
      <w:r w:rsidR="009B7C2C">
        <w:rPr>
          <w:rFonts w:ascii="Book Antiqua" w:hAnsi="Book Antiqua" w:cs="Times New Roman"/>
          <w:b/>
          <w:sz w:val="26"/>
          <w:szCs w:val="26"/>
        </w:rPr>
        <w:t xml:space="preserve"> </w:t>
      </w:r>
    </w:p>
    <w:p w14:paraId="2F9184A5" w14:textId="085FDCD3" w:rsidR="00847E2A" w:rsidRPr="00847E2A" w:rsidRDefault="00847E2A" w:rsidP="00847E2A">
      <w:pPr>
        <w:spacing w:after="0"/>
        <w:ind w:firstLine="709"/>
        <w:jc w:val="both"/>
        <w:rPr>
          <w:rFonts w:ascii="Book Antiqua" w:hAnsi="Book Antiqua" w:cs="Times New Roman"/>
          <w:b/>
          <w:bCs/>
          <w:sz w:val="24"/>
          <w:szCs w:val="24"/>
        </w:rPr>
      </w:pPr>
      <w:r w:rsidRPr="00847E2A">
        <w:rPr>
          <w:rFonts w:ascii="Book Antiqua" w:hAnsi="Book Antiqua" w:cs="Times New Roman"/>
          <w:sz w:val="24"/>
          <w:szCs w:val="24"/>
        </w:rPr>
        <w:t xml:space="preserve">Berdasarkan hasil dari penelitian yang telah dilakukan dengan menguraikan beberapa pendapat yang telah dikemukakan diatas dapat disimpulkan bahwa </w:t>
      </w:r>
      <w:r w:rsidRPr="00847E2A">
        <w:rPr>
          <w:rFonts w:ascii="Book Antiqua" w:eastAsia="Arial Unicode MS" w:hAnsi="Book Antiqua" w:cs="Times New Roman"/>
          <w:sz w:val="24"/>
          <w:szCs w:val="24"/>
        </w:rPr>
        <w:t xml:space="preserve">Pola Asuh Orang Tua Sebagai Upaya Meningktkan </w:t>
      </w:r>
      <w:r w:rsidRPr="00847E2A">
        <w:rPr>
          <w:rFonts w:ascii="Book Antiqua" w:eastAsia="Arial Unicode MS" w:hAnsi="Book Antiqua" w:cs="Times New Roman"/>
          <w:i/>
          <w:sz w:val="24"/>
          <w:szCs w:val="24"/>
        </w:rPr>
        <w:t>Adversity Quotient</w:t>
      </w:r>
      <w:r w:rsidRPr="00847E2A">
        <w:rPr>
          <w:rFonts w:ascii="Book Antiqua" w:eastAsia="Arial Unicode MS" w:hAnsi="Book Antiqua" w:cs="Times New Roman"/>
          <w:sz w:val="24"/>
          <w:szCs w:val="24"/>
        </w:rPr>
        <w:t xml:space="preserve"> dan Motivasi Belajar Siswa TK </w:t>
      </w:r>
      <w:proofErr w:type="spellStart"/>
      <w:r>
        <w:rPr>
          <w:rFonts w:ascii="Book Antiqua" w:eastAsia="Arial Unicode MS" w:hAnsi="Book Antiqua" w:cs="Times New Roman"/>
          <w:sz w:val="24"/>
          <w:szCs w:val="24"/>
          <w:lang w:val="en-US"/>
        </w:rPr>
        <w:t>Aisyiyah</w:t>
      </w:r>
      <w:proofErr w:type="spellEnd"/>
      <w:r>
        <w:rPr>
          <w:rFonts w:ascii="Book Antiqua" w:eastAsia="Arial Unicode MS" w:hAnsi="Book Antiqua" w:cs="Times New Roman"/>
          <w:sz w:val="24"/>
          <w:szCs w:val="24"/>
          <w:lang w:val="en-US"/>
        </w:rPr>
        <w:t xml:space="preserve"> 58 Surabaya</w:t>
      </w:r>
      <w:r w:rsidRPr="00847E2A">
        <w:rPr>
          <w:rFonts w:ascii="Book Antiqua" w:eastAsia="Arial Unicode MS" w:hAnsi="Book Antiqua" w:cs="Times New Roman"/>
          <w:sz w:val="24"/>
          <w:szCs w:val="24"/>
        </w:rPr>
        <w:t xml:space="preserve"> dapat dikatakan berhasil. </w:t>
      </w:r>
      <w:r w:rsidRPr="00847E2A">
        <w:rPr>
          <w:rFonts w:ascii="Book Antiqua" w:hAnsi="Book Antiqua" w:cs="Times New Roman"/>
          <w:sz w:val="24"/>
          <w:szCs w:val="24"/>
        </w:rPr>
        <w:t xml:space="preserve">Pola asuh orang tua dibedakan menjadi tiga yaitu pola asuh otoriter, pola asuh permissif dan pola asuh demokratis. </w:t>
      </w:r>
      <w:r w:rsidRPr="00847E2A">
        <w:rPr>
          <w:rFonts w:ascii="Book Antiqua" w:hAnsi="Book Antiqua" w:cs="Times New Roman"/>
          <w:bCs/>
          <w:sz w:val="24"/>
          <w:szCs w:val="24"/>
        </w:rPr>
        <w:t xml:space="preserve">Dengan pola asuh orang tua yang baik memiliki dampak tersendiri dalam meningkatkan </w:t>
      </w:r>
      <w:r w:rsidRPr="00847E2A">
        <w:rPr>
          <w:rFonts w:ascii="Book Antiqua" w:eastAsia="Arial Unicode MS" w:hAnsi="Book Antiqua" w:cs="Times New Roman"/>
          <w:i/>
          <w:sz w:val="24"/>
          <w:szCs w:val="24"/>
        </w:rPr>
        <w:t xml:space="preserve">Adversity Quotient </w:t>
      </w:r>
      <w:r w:rsidRPr="00847E2A">
        <w:rPr>
          <w:rFonts w:ascii="Book Antiqua" w:eastAsia="Arial Unicode MS" w:hAnsi="Book Antiqua" w:cs="Times New Roman"/>
          <w:sz w:val="24"/>
          <w:szCs w:val="24"/>
        </w:rPr>
        <w:t xml:space="preserve">dan motivasi belajar siswa. </w:t>
      </w:r>
      <w:r w:rsidRPr="00847E2A">
        <w:rPr>
          <w:rFonts w:ascii="Book Antiqua" w:hAnsi="Book Antiqua" w:cs="Times New Roman"/>
          <w:sz w:val="24"/>
          <w:szCs w:val="24"/>
        </w:rPr>
        <w:t>Kemampuan anak menghadapi kesulitan akan menjadi berkah dalam kehidupan. Dengan demikian kesulitan atau kegagalan bukan untuk dihindari tapi dihadapi dan mengubahnya menjadi solusi dalam kehidupan seorang anak. Anak yang sukses dalam belajar adalah anak yang tingkat adversitynya tinggi dan motivasi belajarnya kuat.</w:t>
      </w:r>
    </w:p>
    <w:p w14:paraId="22EEF40A" w14:textId="1817B00C" w:rsidR="00B74B03" w:rsidRDefault="00B74B03" w:rsidP="006A1955">
      <w:pPr>
        <w:pStyle w:val="BodyText"/>
        <w:spacing w:after="0" w:line="240" w:lineRule="auto"/>
        <w:jc w:val="both"/>
        <w:rPr>
          <w:rFonts w:ascii="Book Antiqua" w:hAnsi="Book Antiqua" w:cs="Times New Roman"/>
          <w:b/>
        </w:rPr>
      </w:pPr>
    </w:p>
    <w:p w14:paraId="605D70F7" w14:textId="609E7127" w:rsidR="00AB089F" w:rsidRPr="00AB089F" w:rsidRDefault="00A119AF" w:rsidP="00AB089F">
      <w:pPr>
        <w:pStyle w:val="BodyText"/>
        <w:spacing w:after="0" w:line="240" w:lineRule="auto"/>
        <w:jc w:val="both"/>
        <w:rPr>
          <w:rFonts w:ascii="Book Antiqua" w:hAnsi="Book Antiqua" w:cs="Times New Roman"/>
          <w:b/>
        </w:rPr>
      </w:pPr>
      <w:r w:rsidRPr="005474D6">
        <w:rPr>
          <w:rFonts w:ascii="Book Antiqua" w:hAnsi="Book Antiqua" w:cs="Times New Roman"/>
          <w:b/>
          <w:sz w:val="28"/>
          <w:szCs w:val="28"/>
        </w:rPr>
        <w:t>Ucapan Terima Kasih</w:t>
      </w:r>
      <w:r>
        <w:rPr>
          <w:rFonts w:ascii="Book Antiqua" w:hAnsi="Book Antiqua" w:cs="Times New Roman"/>
          <w:b/>
          <w:sz w:val="28"/>
          <w:szCs w:val="28"/>
        </w:rPr>
        <w:t xml:space="preserve"> </w:t>
      </w:r>
    </w:p>
    <w:p w14:paraId="3198B196" w14:textId="77777777" w:rsidR="00847E2A" w:rsidRPr="00847E2A" w:rsidRDefault="00847E2A" w:rsidP="00847E2A">
      <w:pPr>
        <w:spacing w:after="0" w:line="240" w:lineRule="auto"/>
        <w:ind w:firstLine="709"/>
        <w:jc w:val="both"/>
        <w:rPr>
          <w:rFonts w:ascii="Book Antiqua" w:hAnsi="Book Antiqua" w:cs="Times New Roman"/>
        </w:rPr>
      </w:pPr>
      <w:r w:rsidRPr="00847E2A">
        <w:rPr>
          <w:rFonts w:ascii="Book Antiqua" w:hAnsi="Book Antiqua" w:cs="Times New Roman"/>
        </w:rPr>
        <w:t xml:space="preserve">Penulis mengucapkan banyak terimakasih kepada seluruh responden atau siswa yang sudah bersedia bekerja sama untuk memperoleh data yang dibutuhkan dalam penelitian ini dan juga pihak-pihak lain yang sudah membantu dalam mensukseskan penelitian ini, walaupun tulisan ini masih jauh dari kesempurnaan, namun akan lebih baik dilakukan penelitian-penelitian selanjutnya dengan lebih baik lagi.  </w:t>
      </w:r>
    </w:p>
    <w:p w14:paraId="243C9049" w14:textId="77777777" w:rsidR="00C90C92" w:rsidRPr="005474D6" w:rsidRDefault="00C90C92" w:rsidP="006A1955">
      <w:pPr>
        <w:pStyle w:val="BodyText"/>
        <w:spacing w:after="0" w:line="240" w:lineRule="auto"/>
        <w:ind w:firstLine="567"/>
        <w:jc w:val="both"/>
        <w:rPr>
          <w:rFonts w:ascii="Book Antiqua" w:hAnsi="Book Antiqua" w:cs="Times New Roman"/>
        </w:rPr>
      </w:pPr>
    </w:p>
    <w:p w14:paraId="11DFD518" w14:textId="79C8BBE6" w:rsidR="00AB089F" w:rsidRPr="00AB089F" w:rsidRDefault="00A119AF" w:rsidP="00AB089F">
      <w:pPr>
        <w:pStyle w:val="BodyText"/>
        <w:spacing w:after="0" w:line="240" w:lineRule="auto"/>
        <w:jc w:val="both"/>
        <w:rPr>
          <w:rFonts w:ascii="Book Antiqua" w:hAnsi="Book Antiqua" w:cs="Times New Roman"/>
          <w:b/>
        </w:rPr>
      </w:pPr>
      <w:r w:rsidRPr="005474D6">
        <w:rPr>
          <w:rFonts w:ascii="Book Antiqua" w:hAnsi="Book Antiqua" w:cs="Times New Roman"/>
          <w:b/>
          <w:sz w:val="28"/>
          <w:szCs w:val="28"/>
        </w:rPr>
        <w:t>Daftar Pustaka</w:t>
      </w:r>
      <w:r>
        <w:rPr>
          <w:rFonts w:ascii="Book Antiqua" w:hAnsi="Book Antiqua" w:cs="Times New Roman"/>
          <w:b/>
          <w:sz w:val="28"/>
          <w:szCs w:val="28"/>
        </w:rPr>
        <w:t xml:space="preserve"> </w:t>
      </w:r>
    </w:p>
    <w:p w14:paraId="167240E1"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rPr>
        <w:fldChar w:fldCharType="begin" w:fldLock="1"/>
      </w:r>
      <w:r w:rsidRPr="00847E2A">
        <w:rPr>
          <w:rFonts w:ascii="Book Antiqua" w:hAnsi="Book Antiqua" w:cs="Times New Roman"/>
        </w:rPr>
        <w:instrText xml:space="preserve">ADDIN Mendeley Bibliography CSL_BIBLIOGRAPHY </w:instrText>
      </w:r>
      <w:r w:rsidRPr="00847E2A">
        <w:rPr>
          <w:rFonts w:ascii="Book Antiqua" w:hAnsi="Book Antiqua" w:cs="Times New Roman"/>
        </w:rPr>
        <w:fldChar w:fldCharType="separate"/>
      </w:r>
      <w:r w:rsidRPr="00847E2A">
        <w:rPr>
          <w:rFonts w:ascii="Book Antiqua" w:hAnsi="Book Antiqua" w:cs="Times New Roman"/>
          <w:noProof/>
        </w:rPr>
        <w:t xml:space="preserve">Asri, I. G. A. A. S. (2018). </w:t>
      </w:r>
      <w:r w:rsidRPr="00847E2A">
        <w:rPr>
          <w:rFonts w:ascii="Book Antiqua" w:hAnsi="Book Antiqua" w:cs="Times New Roman"/>
          <w:i/>
          <w:iCs/>
          <w:noProof/>
        </w:rPr>
        <w:t>Hubungan Pola Asuh Terhadap Perkembangan Anak Usia Dini</w:t>
      </w:r>
      <w:r w:rsidRPr="00847E2A">
        <w:rPr>
          <w:rFonts w:ascii="Book Antiqua" w:hAnsi="Book Antiqua" w:cs="Times New Roman"/>
          <w:noProof/>
        </w:rPr>
        <w:t xml:space="preserve">. </w:t>
      </w:r>
      <w:r w:rsidRPr="00847E2A">
        <w:rPr>
          <w:rFonts w:ascii="Book Antiqua" w:hAnsi="Book Antiqua" w:cs="Times New Roman"/>
          <w:i/>
          <w:iCs/>
          <w:noProof/>
        </w:rPr>
        <w:t>2</w:t>
      </w:r>
      <w:r w:rsidRPr="00847E2A">
        <w:rPr>
          <w:rFonts w:ascii="Book Antiqua" w:hAnsi="Book Antiqua" w:cs="Times New Roman"/>
          <w:noProof/>
        </w:rPr>
        <w:t>(1), 1–9.</w:t>
      </w:r>
    </w:p>
    <w:p w14:paraId="382FB063"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Benoy, J., &amp; Morley, M. J. (2020). Out of India: Towards a conceptual framework on internationalization motives, parenting styles and human resource management practices among Indian MNE subsidiaries in Ireland. </w:t>
      </w:r>
      <w:r w:rsidRPr="00847E2A">
        <w:rPr>
          <w:rFonts w:ascii="Book Antiqua" w:hAnsi="Book Antiqua" w:cs="Times New Roman"/>
          <w:i/>
          <w:iCs/>
          <w:noProof/>
        </w:rPr>
        <w:t>Human Resource Management Review</w:t>
      </w:r>
      <w:r w:rsidRPr="00847E2A">
        <w:rPr>
          <w:rFonts w:ascii="Book Antiqua" w:hAnsi="Book Antiqua" w:cs="Times New Roman"/>
          <w:noProof/>
        </w:rPr>
        <w:t xml:space="preserve">, </w:t>
      </w:r>
      <w:r w:rsidRPr="00847E2A">
        <w:rPr>
          <w:rFonts w:ascii="Book Antiqua" w:hAnsi="Book Antiqua" w:cs="Times New Roman"/>
          <w:i/>
          <w:iCs/>
          <w:noProof/>
        </w:rPr>
        <w:t>30</w:t>
      </w:r>
      <w:r w:rsidRPr="00847E2A">
        <w:rPr>
          <w:rFonts w:ascii="Book Antiqua" w:hAnsi="Book Antiqua" w:cs="Times New Roman"/>
          <w:noProof/>
        </w:rPr>
        <w:t>(4), 100724. https://doi.org/10.1016/j.hrmr.2019.100724</w:t>
      </w:r>
    </w:p>
    <w:p w14:paraId="188E85BB"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Cheng, T. W., Mills, K. L., Miranda Dominguez, O., Zeithamova, D., Perrone, A., Sturgeon, D., Feldstein Ewing, S. W., Fisher, P. A., Pfeifer, J. H., Fair, D. A., &amp; Mackiewicz Seghete, K. </w:t>
      </w:r>
      <w:r w:rsidRPr="00847E2A">
        <w:rPr>
          <w:rFonts w:ascii="Book Antiqua" w:hAnsi="Book Antiqua" w:cs="Times New Roman"/>
          <w:noProof/>
        </w:rPr>
        <w:lastRenderedPageBreak/>
        <w:t xml:space="preserve">L. (2021). Characterizing the impact of adversity, abuse, and neglect on adolescent amygdala resting-state functional connectivity. </w:t>
      </w:r>
      <w:r w:rsidRPr="00847E2A">
        <w:rPr>
          <w:rFonts w:ascii="Book Antiqua" w:hAnsi="Book Antiqua" w:cs="Times New Roman"/>
          <w:i/>
          <w:iCs/>
          <w:noProof/>
        </w:rPr>
        <w:t>Developmental Cognitive Neuroscience</w:t>
      </w:r>
      <w:r w:rsidRPr="00847E2A">
        <w:rPr>
          <w:rFonts w:ascii="Book Antiqua" w:hAnsi="Book Antiqua" w:cs="Times New Roman"/>
          <w:noProof/>
        </w:rPr>
        <w:t xml:space="preserve">, </w:t>
      </w:r>
      <w:r w:rsidRPr="00847E2A">
        <w:rPr>
          <w:rFonts w:ascii="Book Antiqua" w:hAnsi="Book Antiqua" w:cs="Times New Roman"/>
          <w:i/>
          <w:iCs/>
          <w:noProof/>
        </w:rPr>
        <w:t>47</w:t>
      </w:r>
      <w:r w:rsidRPr="00847E2A">
        <w:rPr>
          <w:rFonts w:ascii="Book Antiqua" w:hAnsi="Book Antiqua" w:cs="Times New Roman"/>
          <w:noProof/>
        </w:rPr>
        <w:t>, 100894. https://doi.org/10.1016/j.dcn.2020.100894</w:t>
      </w:r>
    </w:p>
    <w:p w14:paraId="2EAD2084"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Covin, J. G., Garrett, R. P., Kuratko, D. F., &amp; Shepherd, D. A. (2020). Short leash or long leash? Parenting style, initial strategic clarity, and the development of venture learning proficiency. </w:t>
      </w:r>
      <w:r w:rsidRPr="00847E2A">
        <w:rPr>
          <w:rFonts w:ascii="Book Antiqua" w:hAnsi="Book Antiqua" w:cs="Times New Roman"/>
          <w:i/>
          <w:iCs/>
          <w:noProof/>
        </w:rPr>
        <w:t>Journal of Business Venturing</w:t>
      </w:r>
      <w:r w:rsidRPr="00847E2A">
        <w:rPr>
          <w:rFonts w:ascii="Book Antiqua" w:hAnsi="Book Antiqua" w:cs="Times New Roman"/>
          <w:noProof/>
        </w:rPr>
        <w:t xml:space="preserve">, </w:t>
      </w:r>
      <w:r w:rsidRPr="00847E2A">
        <w:rPr>
          <w:rFonts w:ascii="Book Antiqua" w:hAnsi="Book Antiqua" w:cs="Times New Roman"/>
          <w:i/>
          <w:iCs/>
          <w:noProof/>
        </w:rPr>
        <w:t>35</w:t>
      </w:r>
      <w:r w:rsidRPr="00847E2A">
        <w:rPr>
          <w:rFonts w:ascii="Book Antiqua" w:hAnsi="Book Antiqua" w:cs="Times New Roman"/>
          <w:noProof/>
        </w:rPr>
        <w:t>(4), 105951. https://doi.org/10.1016/j.jbusvent.2019.105951</w:t>
      </w:r>
    </w:p>
    <w:p w14:paraId="42C529AA"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Dragan, M. (2020). Adverse experiences, emotional regulation difficulties and psychopathology in a sample of young women: Model of associations and results of cluster and discriminant function analysis. </w:t>
      </w:r>
      <w:r w:rsidRPr="00847E2A">
        <w:rPr>
          <w:rFonts w:ascii="Book Antiqua" w:hAnsi="Book Antiqua" w:cs="Times New Roman"/>
          <w:i/>
          <w:iCs/>
          <w:noProof/>
        </w:rPr>
        <w:t>European Journal of Trauma &amp; Dissociation</w:t>
      </w:r>
      <w:r w:rsidRPr="00847E2A">
        <w:rPr>
          <w:rFonts w:ascii="Book Antiqua" w:hAnsi="Book Antiqua" w:cs="Times New Roman"/>
          <w:noProof/>
        </w:rPr>
        <w:t xml:space="preserve">, </w:t>
      </w:r>
      <w:r w:rsidRPr="00847E2A">
        <w:rPr>
          <w:rFonts w:ascii="Book Antiqua" w:hAnsi="Book Antiqua" w:cs="Times New Roman"/>
          <w:i/>
          <w:iCs/>
          <w:noProof/>
        </w:rPr>
        <w:t>4</w:t>
      </w:r>
      <w:r w:rsidRPr="00847E2A">
        <w:rPr>
          <w:rFonts w:ascii="Book Antiqua" w:hAnsi="Book Antiqua" w:cs="Times New Roman"/>
          <w:noProof/>
        </w:rPr>
        <w:t>(1), 100091. https://doi.org/10.1016/j.ejtd.2018.12.001</w:t>
      </w:r>
    </w:p>
    <w:p w14:paraId="20DC4410"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Gralewski, J., &amp; Jankowska, D. M. (2020). Do parenting styles matter? Perceived dimensions of parenting styles, creative abilities and creative self-beliefs in adolescents. </w:t>
      </w:r>
      <w:r w:rsidRPr="00847E2A">
        <w:rPr>
          <w:rFonts w:ascii="Book Antiqua" w:hAnsi="Book Antiqua" w:cs="Times New Roman"/>
          <w:i/>
          <w:iCs/>
          <w:noProof/>
        </w:rPr>
        <w:t>Thinking Skills and Creativity</w:t>
      </w:r>
      <w:r w:rsidRPr="00847E2A">
        <w:rPr>
          <w:rFonts w:ascii="Book Antiqua" w:hAnsi="Book Antiqua" w:cs="Times New Roman"/>
          <w:noProof/>
        </w:rPr>
        <w:t xml:space="preserve">, </w:t>
      </w:r>
      <w:r w:rsidRPr="00847E2A">
        <w:rPr>
          <w:rFonts w:ascii="Book Antiqua" w:hAnsi="Book Antiqua" w:cs="Times New Roman"/>
          <w:i/>
          <w:iCs/>
          <w:noProof/>
        </w:rPr>
        <w:t>38</w:t>
      </w:r>
      <w:r w:rsidRPr="00847E2A">
        <w:rPr>
          <w:rFonts w:ascii="Book Antiqua" w:hAnsi="Book Antiqua" w:cs="Times New Roman"/>
          <w:noProof/>
        </w:rPr>
        <w:t>(May), 100709. https://doi.org/10.1016/j.tsc.2020.100709</w:t>
      </w:r>
    </w:p>
    <w:p w14:paraId="3D2BE378"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Gunawan, H. (2017). </w:t>
      </w:r>
      <w:r w:rsidRPr="00847E2A">
        <w:rPr>
          <w:rFonts w:ascii="Book Antiqua" w:hAnsi="Book Antiqua" w:cs="Times New Roman"/>
          <w:i/>
          <w:iCs/>
          <w:noProof/>
        </w:rPr>
        <w:t>KELOMPOK B DI KELOMPOK BERMAIN DHARMA MULYA TENGGARONG SEBERANG</w:t>
      </w:r>
      <w:r w:rsidRPr="00847E2A">
        <w:rPr>
          <w:rFonts w:ascii="Book Antiqua" w:hAnsi="Book Antiqua" w:cs="Times New Roman"/>
          <w:noProof/>
        </w:rPr>
        <w:t>. 1–15.</w:t>
      </w:r>
    </w:p>
    <w:p w14:paraId="57C23B46"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He, Y., Zhang, Y., Cui, X., Zhong, Y., He, W., Liu, J., Luo, X., &amp; Gong, J. (2021). Epidemiology of major childhood adversities and its effect on depression and suicide attempts in Chinese college students. </w:t>
      </w:r>
      <w:r w:rsidRPr="00847E2A">
        <w:rPr>
          <w:rFonts w:ascii="Book Antiqua" w:hAnsi="Book Antiqua" w:cs="Times New Roman"/>
          <w:i/>
          <w:iCs/>
          <w:noProof/>
        </w:rPr>
        <w:t>Journal of Affective Disorders</w:t>
      </w:r>
      <w:r w:rsidRPr="00847E2A">
        <w:rPr>
          <w:rFonts w:ascii="Book Antiqua" w:hAnsi="Book Antiqua" w:cs="Times New Roman"/>
          <w:noProof/>
        </w:rPr>
        <w:t xml:space="preserve">, </w:t>
      </w:r>
      <w:r w:rsidRPr="00847E2A">
        <w:rPr>
          <w:rFonts w:ascii="Book Antiqua" w:hAnsi="Book Antiqua" w:cs="Times New Roman"/>
          <w:i/>
          <w:iCs/>
          <w:noProof/>
        </w:rPr>
        <w:t>281</w:t>
      </w:r>
      <w:r w:rsidRPr="00847E2A">
        <w:rPr>
          <w:rFonts w:ascii="Book Antiqua" w:hAnsi="Book Antiqua" w:cs="Times New Roman"/>
          <w:noProof/>
        </w:rPr>
        <w:t>, 331–337. https://doi.org/10.1016/j.jad.2020.12.031</w:t>
      </w:r>
    </w:p>
    <w:p w14:paraId="5168CD9C"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Hendrix, C. L., Dilks, D. D., McKenna, B. G., Dunlop, A. L., Corwin, E. J., &amp; Brennan, P. A. (2020). Maternal childhood adversity associates with frontoamygdala connectivity in neonates. </w:t>
      </w:r>
      <w:r w:rsidRPr="00847E2A">
        <w:rPr>
          <w:rFonts w:ascii="Book Antiqua" w:hAnsi="Book Antiqua" w:cs="Times New Roman"/>
          <w:i/>
          <w:iCs/>
          <w:noProof/>
        </w:rPr>
        <w:t>Biological Psychiatry: Cognitive Neuroscience and Neuroimaging</w:t>
      </w:r>
      <w:r w:rsidRPr="00847E2A">
        <w:rPr>
          <w:rFonts w:ascii="Book Antiqua" w:hAnsi="Book Antiqua" w:cs="Times New Roman"/>
          <w:noProof/>
        </w:rPr>
        <w:t>. https://doi.org/10.1016/j.bpsc.2020.11.003</w:t>
      </w:r>
    </w:p>
    <w:p w14:paraId="3CA4CA11"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Kasus, S., Cibodas, A. D., Cianjur, P., Harahap, T. S., &amp; Cimahi-, S. A. Y. (2015). </w:t>
      </w:r>
      <w:r w:rsidRPr="00847E2A">
        <w:rPr>
          <w:rFonts w:ascii="Book Antiqua" w:hAnsi="Book Antiqua" w:cs="Times New Roman"/>
          <w:i/>
          <w:iCs/>
          <w:noProof/>
        </w:rPr>
        <w:t>Pengaruh Pola Asuh Orang Tua terhadap Perkembangan Anak Usia Dini</w:t>
      </w:r>
      <w:r w:rsidRPr="00847E2A">
        <w:rPr>
          <w:rFonts w:ascii="Book Antiqua" w:hAnsi="Book Antiqua" w:cs="Times New Roman"/>
          <w:noProof/>
        </w:rPr>
        <w:t>. 197–201.</w:t>
      </w:r>
    </w:p>
    <w:p w14:paraId="18E8B356"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Kroska, E. B., Roche, A. I., Adamowicz, J. L., &amp; Stegall, M. S. (2020). Psychological flexibility in the context of COVID-19 adversity: Associations with distress. </w:t>
      </w:r>
      <w:r w:rsidRPr="00847E2A">
        <w:rPr>
          <w:rFonts w:ascii="Book Antiqua" w:hAnsi="Book Antiqua" w:cs="Times New Roman"/>
          <w:i/>
          <w:iCs/>
          <w:noProof/>
        </w:rPr>
        <w:t>Journal of Contextual Behavioral Science</w:t>
      </w:r>
      <w:r w:rsidRPr="00847E2A">
        <w:rPr>
          <w:rFonts w:ascii="Book Antiqua" w:hAnsi="Book Antiqua" w:cs="Times New Roman"/>
          <w:noProof/>
        </w:rPr>
        <w:t xml:space="preserve">, </w:t>
      </w:r>
      <w:r w:rsidRPr="00847E2A">
        <w:rPr>
          <w:rFonts w:ascii="Book Antiqua" w:hAnsi="Book Antiqua" w:cs="Times New Roman"/>
          <w:i/>
          <w:iCs/>
          <w:noProof/>
        </w:rPr>
        <w:t>18</w:t>
      </w:r>
      <w:r w:rsidRPr="00847E2A">
        <w:rPr>
          <w:rFonts w:ascii="Book Antiqua" w:hAnsi="Book Antiqua" w:cs="Times New Roman"/>
          <w:noProof/>
        </w:rPr>
        <w:t>(June), 28–33. https://doi.org/10.1016/j.jcbs.2020.07.011</w:t>
      </w:r>
    </w:p>
    <w:p w14:paraId="3234B6D2"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Lantanida. (2017). </w:t>
      </w:r>
      <w:r w:rsidRPr="00847E2A">
        <w:rPr>
          <w:rFonts w:ascii="Book Antiqua" w:hAnsi="Book Antiqua" w:cs="Times New Roman"/>
          <w:i/>
          <w:iCs/>
          <w:noProof/>
        </w:rPr>
        <w:t>Lantanida Journal,</w:t>
      </w:r>
      <w:r w:rsidRPr="00847E2A">
        <w:rPr>
          <w:rFonts w:ascii="Book Antiqua" w:hAnsi="Book Antiqua" w:cs="Times New Roman"/>
          <w:noProof/>
        </w:rPr>
        <w:t xml:space="preserve">. </w:t>
      </w:r>
      <w:r w:rsidRPr="00847E2A">
        <w:rPr>
          <w:rFonts w:ascii="Book Antiqua" w:hAnsi="Book Antiqua" w:cs="Times New Roman"/>
          <w:i/>
          <w:iCs/>
          <w:noProof/>
        </w:rPr>
        <w:t>5</w:t>
      </w:r>
      <w:r w:rsidRPr="00847E2A">
        <w:rPr>
          <w:rFonts w:ascii="Book Antiqua" w:hAnsi="Book Antiqua" w:cs="Times New Roman"/>
          <w:noProof/>
        </w:rPr>
        <w:t>(2).</w:t>
      </w:r>
    </w:p>
    <w:p w14:paraId="2B566231"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O’Dea, N., Clough, M., Beebe, R., DiVietro, S., Lapidus, G., &amp; Grasso, D. J. (2020). Using Child Protective Services Case Record Data to Quantify Family-Level Severity of Adversity Types, Poly-victimization, and Poly-deprivation. </w:t>
      </w:r>
      <w:r w:rsidRPr="00847E2A">
        <w:rPr>
          <w:rFonts w:ascii="Book Antiqua" w:hAnsi="Book Antiqua" w:cs="Times New Roman"/>
          <w:i/>
          <w:iCs/>
          <w:noProof/>
        </w:rPr>
        <w:t>Child Abuse and Neglect</w:t>
      </w:r>
      <w:r w:rsidRPr="00847E2A">
        <w:rPr>
          <w:rFonts w:ascii="Book Antiqua" w:hAnsi="Book Antiqua" w:cs="Times New Roman"/>
          <w:noProof/>
        </w:rPr>
        <w:t xml:space="preserve">, </w:t>
      </w:r>
      <w:r w:rsidRPr="00847E2A">
        <w:rPr>
          <w:rFonts w:ascii="Book Antiqua" w:hAnsi="Book Antiqua" w:cs="Times New Roman"/>
          <w:i/>
          <w:iCs/>
          <w:noProof/>
        </w:rPr>
        <w:t>108</w:t>
      </w:r>
      <w:r w:rsidRPr="00847E2A">
        <w:rPr>
          <w:rFonts w:ascii="Book Antiqua" w:hAnsi="Book Antiqua" w:cs="Times New Roman"/>
          <w:noProof/>
        </w:rPr>
        <w:t>(December 2019), 104688. https://doi.org/10.1016/j.chiabu.2020.104688</w:t>
      </w:r>
    </w:p>
    <w:p w14:paraId="2C01CBB7"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Paul, R., &amp; Singh, A. (2020). Does early childhood adversities affect physical, cognitive and language development in indian children? Evidence from a panel study. </w:t>
      </w:r>
      <w:r w:rsidRPr="00847E2A">
        <w:rPr>
          <w:rFonts w:ascii="Book Antiqua" w:hAnsi="Book Antiqua" w:cs="Times New Roman"/>
          <w:i/>
          <w:iCs/>
          <w:noProof/>
        </w:rPr>
        <w:t>SSM - Population Health</w:t>
      </w:r>
      <w:r w:rsidRPr="00847E2A">
        <w:rPr>
          <w:rFonts w:ascii="Book Antiqua" w:hAnsi="Book Antiqua" w:cs="Times New Roman"/>
          <w:noProof/>
        </w:rPr>
        <w:t xml:space="preserve">, </w:t>
      </w:r>
      <w:r w:rsidRPr="00847E2A">
        <w:rPr>
          <w:rFonts w:ascii="Book Antiqua" w:hAnsi="Book Antiqua" w:cs="Times New Roman"/>
          <w:i/>
          <w:iCs/>
          <w:noProof/>
        </w:rPr>
        <w:t>12</w:t>
      </w:r>
      <w:r w:rsidRPr="00847E2A">
        <w:rPr>
          <w:rFonts w:ascii="Book Antiqua" w:hAnsi="Book Antiqua" w:cs="Times New Roman"/>
          <w:noProof/>
        </w:rPr>
        <w:t>(August), 100693. https://doi.org/10.1016/j.ssmph.2020.100693</w:t>
      </w:r>
    </w:p>
    <w:p w14:paraId="5BF1041F"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Pierce, M., Abel, K. M., Muwonge, J., Wicks, S., Nevriana, A., Hope, H., Dalman, C., &amp; Kosidou, K. (2020). Prevalence of parental mental illness and association with socioeconomic adversity among children in Sweden between 2006 and 2016: a population-based cohort study. </w:t>
      </w:r>
      <w:r w:rsidRPr="00847E2A">
        <w:rPr>
          <w:rFonts w:ascii="Book Antiqua" w:hAnsi="Book Antiqua" w:cs="Times New Roman"/>
          <w:i/>
          <w:iCs/>
          <w:noProof/>
        </w:rPr>
        <w:t>The Lancet Public Health</w:t>
      </w:r>
      <w:r w:rsidRPr="00847E2A">
        <w:rPr>
          <w:rFonts w:ascii="Book Antiqua" w:hAnsi="Book Antiqua" w:cs="Times New Roman"/>
          <w:noProof/>
        </w:rPr>
        <w:t xml:space="preserve">, </w:t>
      </w:r>
      <w:r w:rsidRPr="00847E2A">
        <w:rPr>
          <w:rFonts w:ascii="Book Antiqua" w:hAnsi="Book Antiqua" w:cs="Times New Roman"/>
          <w:i/>
          <w:iCs/>
          <w:noProof/>
        </w:rPr>
        <w:t>5</w:t>
      </w:r>
      <w:r w:rsidRPr="00847E2A">
        <w:rPr>
          <w:rFonts w:ascii="Book Antiqua" w:hAnsi="Book Antiqua" w:cs="Times New Roman"/>
          <w:noProof/>
        </w:rPr>
        <w:t>(11), e583–e591. https://doi.org/10.1016/S2468-2667(20)30202-4</w:t>
      </w:r>
    </w:p>
    <w:p w14:paraId="4837EE88"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Putwain, D. W., Gallard, D., &amp; Beaumont, J. (2020). Academic buoyancy protects achievement against minor academic adversities. </w:t>
      </w:r>
      <w:r w:rsidRPr="00847E2A">
        <w:rPr>
          <w:rFonts w:ascii="Book Antiqua" w:hAnsi="Book Antiqua" w:cs="Times New Roman"/>
          <w:i/>
          <w:iCs/>
          <w:noProof/>
        </w:rPr>
        <w:t>Learning and Individual Differences</w:t>
      </w:r>
      <w:r w:rsidRPr="00847E2A">
        <w:rPr>
          <w:rFonts w:ascii="Book Antiqua" w:hAnsi="Book Antiqua" w:cs="Times New Roman"/>
          <w:noProof/>
        </w:rPr>
        <w:t xml:space="preserve">, </w:t>
      </w:r>
      <w:r w:rsidRPr="00847E2A">
        <w:rPr>
          <w:rFonts w:ascii="Book Antiqua" w:hAnsi="Book Antiqua" w:cs="Times New Roman"/>
          <w:i/>
          <w:iCs/>
          <w:noProof/>
        </w:rPr>
        <w:t>83</w:t>
      </w:r>
      <w:r w:rsidRPr="00847E2A">
        <w:rPr>
          <w:rFonts w:ascii="Book Antiqua" w:hAnsi="Book Antiqua" w:cs="Times New Roman"/>
          <w:noProof/>
        </w:rPr>
        <w:t>–</w:t>
      </w:r>
      <w:r w:rsidRPr="00847E2A">
        <w:rPr>
          <w:rFonts w:ascii="Book Antiqua" w:hAnsi="Book Antiqua" w:cs="Times New Roman"/>
          <w:i/>
          <w:iCs/>
          <w:noProof/>
        </w:rPr>
        <w:t>84</w:t>
      </w:r>
      <w:r w:rsidRPr="00847E2A">
        <w:rPr>
          <w:rFonts w:ascii="Book Antiqua" w:hAnsi="Book Antiqua" w:cs="Times New Roman"/>
          <w:noProof/>
        </w:rPr>
        <w:t>(September), 101936. https://doi.org/10.1016/j.lindif.2020.101936</w:t>
      </w:r>
    </w:p>
    <w:p w14:paraId="24C6A602"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Qin, X., Feng, Y., Qu, F., Luo, Y., Chen, B., Chen, M., Zou, Y., &amp; Zhang, L. (2020). Posttraumatic growth among parents of children with autism spectrum disorder in China and its relationship to family function and mental resilience: A cross-sectional study. </w:t>
      </w:r>
      <w:r w:rsidRPr="00847E2A">
        <w:rPr>
          <w:rFonts w:ascii="Book Antiqua" w:hAnsi="Book Antiqua" w:cs="Times New Roman"/>
          <w:i/>
          <w:iCs/>
          <w:noProof/>
        </w:rPr>
        <w:t>Journal of Pediatric Nursing</w:t>
      </w:r>
      <w:r w:rsidRPr="00847E2A">
        <w:rPr>
          <w:rFonts w:ascii="Book Antiqua" w:hAnsi="Book Antiqua" w:cs="Times New Roman"/>
          <w:noProof/>
        </w:rPr>
        <w:t>. https://doi.org/10.1016/j.pedn.2020.10.026</w:t>
      </w:r>
    </w:p>
    <w:p w14:paraId="73DB62F4"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Rebecka, K., Susanne, O., Kent, N. W., &amp; Cecilia, Å. (2020). The influence of parenting styles and parental depression on adolescent depressive symptoms: A cross-sectional and longitudinal approach. </w:t>
      </w:r>
      <w:r w:rsidRPr="00847E2A">
        <w:rPr>
          <w:rFonts w:ascii="Book Antiqua" w:hAnsi="Book Antiqua" w:cs="Times New Roman"/>
          <w:i/>
          <w:iCs/>
          <w:noProof/>
        </w:rPr>
        <w:t>Mental Health and Prevention</w:t>
      </w:r>
      <w:r w:rsidRPr="00847E2A">
        <w:rPr>
          <w:rFonts w:ascii="Book Antiqua" w:hAnsi="Book Antiqua" w:cs="Times New Roman"/>
          <w:noProof/>
        </w:rPr>
        <w:t xml:space="preserve">, </w:t>
      </w:r>
      <w:r w:rsidRPr="00847E2A">
        <w:rPr>
          <w:rFonts w:ascii="Book Antiqua" w:hAnsi="Book Antiqua" w:cs="Times New Roman"/>
          <w:i/>
          <w:iCs/>
          <w:noProof/>
        </w:rPr>
        <w:t>20</w:t>
      </w:r>
      <w:r w:rsidRPr="00847E2A">
        <w:rPr>
          <w:rFonts w:ascii="Book Antiqua" w:hAnsi="Book Antiqua" w:cs="Times New Roman"/>
          <w:noProof/>
        </w:rPr>
        <w:t xml:space="preserve">(October), 200193. </w:t>
      </w:r>
      <w:r w:rsidRPr="00847E2A">
        <w:rPr>
          <w:rFonts w:ascii="Book Antiqua" w:hAnsi="Book Antiqua" w:cs="Times New Roman"/>
          <w:noProof/>
        </w:rPr>
        <w:lastRenderedPageBreak/>
        <w:t>https://doi.org/10.1016/j.mhp.2020.200193</w:t>
      </w:r>
    </w:p>
    <w:p w14:paraId="42702EBD"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Ruteng, P. (2019). </w:t>
      </w:r>
      <w:r w:rsidRPr="00847E2A">
        <w:rPr>
          <w:rFonts w:ascii="Book Antiqua" w:hAnsi="Book Antiqua" w:cs="Times New Roman"/>
          <w:i/>
          <w:iCs/>
          <w:noProof/>
        </w:rPr>
        <w:t>ANAK DALAM KELUARGA DI MANGGARAI , NTT</w:t>
      </w:r>
      <w:r w:rsidRPr="00847E2A">
        <w:rPr>
          <w:rFonts w:ascii="Book Antiqua" w:hAnsi="Book Antiqua" w:cs="Times New Roman"/>
          <w:noProof/>
        </w:rPr>
        <w:t xml:space="preserve">. </w:t>
      </w:r>
      <w:r w:rsidRPr="00847E2A">
        <w:rPr>
          <w:rFonts w:ascii="Book Antiqua" w:hAnsi="Book Antiqua" w:cs="Times New Roman"/>
          <w:i/>
          <w:iCs/>
          <w:noProof/>
        </w:rPr>
        <w:t>April</w:t>
      </w:r>
      <w:r w:rsidRPr="00847E2A">
        <w:rPr>
          <w:rFonts w:ascii="Book Antiqua" w:hAnsi="Book Antiqua" w:cs="Times New Roman"/>
          <w:noProof/>
        </w:rPr>
        <w:t>, 167–173.</w:t>
      </w:r>
    </w:p>
    <w:p w14:paraId="64BDEB7D"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Samudra. (2016). </w:t>
      </w:r>
      <w:r w:rsidRPr="00847E2A">
        <w:rPr>
          <w:rFonts w:ascii="Book Antiqua" w:hAnsi="Book Antiqua" w:cs="Times New Roman"/>
          <w:i/>
          <w:iCs/>
          <w:noProof/>
        </w:rPr>
        <w:t>Hubungan Motivasi Belajar dan Minat Belajar terhadap Prestasi Belajar Mahasiswa Mata Kuliah Pengantar Manajemen ( Studi kasus Mahasiswa Tingkat I EKM A Semester II )</w:t>
      </w:r>
      <w:r w:rsidRPr="00847E2A">
        <w:rPr>
          <w:rFonts w:ascii="Book Antiqua" w:hAnsi="Book Antiqua" w:cs="Times New Roman"/>
          <w:noProof/>
        </w:rPr>
        <w:t xml:space="preserve">. </w:t>
      </w:r>
      <w:r w:rsidRPr="00847E2A">
        <w:rPr>
          <w:rFonts w:ascii="Book Antiqua" w:hAnsi="Book Antiqua" w:cs="Times New Roman"/>
          <w:i/>
          <w:iCs/>
          <w:noProof/>
        </w:rPr>
        <w:t>5</w:t>
      </w:r>
      <w:r w:rsidRPr="00847E2A">
        <w:rPr>
          <w:rFonts w:ascii="Book Antiqua" w:hAnsi="Book Antiqua" w:cs="Times New Roman"/>
          <w:noProof/>
        </w:rPr>
        <w:t>(1), 440–448.</w:t>
      </w:r>
    </w:p>
    <w:p w14:paraId="65000AA7"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Sunarty, K. (2016). </w:t>
      </w:r>
      <w:r w:rsidRPr="00847E2A">
        <w:rPr>
          <w:rFonts w:ascii="Book Antiqua" w:hAnsi="Book Antiqua" w:cs="Times New Roman"/>
          <w:i/>
          <w:iCs/>
          <w:noProof/>
        </w:rPr>
        <w:t>Hubungan pola asuh orangtua dan kemandirian anak</w:t>
      </w:r>
      <w:r w:rsidRPr="00847E2A">
        <w:rPr>
          <w:rFonts w:ascii="Book Antiqua" w:hAnsi="Book Antiqua" w:cs="Times New Roman"/>
          <w:noProof/>
        </w:rPr>
        <w:t xml:space="preserve">. </w:t>
      </w:r>
      <w:r w:rsidRPr="00847E2A">
        <w:rPr>
          <w:rFonts w:ascii="Book Antiqua" w:hAnsi="Book Antiqua" w:cs="Times New Roman"/>
          <w:i/>
          <w:iCs/>
          <w:noProof/>
        </w:rPr>
        <w:t>2</w:t>
      </w:r>
      <w:r w:rsidRPr="00847E2A">
        <w:rPr>
          <w:rFonts w:ascii="Book Antiqua" w:hAnsi="Book Antiqua" w:cs="Times New Roman"/>
          <w:noProof/>
        </w:rPr>
        <w:t>(2), 152–160.</w:t>
      </w:r>
    </w:p>
    <w:p w14:paraId="4DA58641"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Susmiati, Saida, N., &amp; AbidiN, R. (2020). Tingkat Agresivitas Anak Usia 4-5 Tahun pada Keluarga dengan Pola Asuh Kekerasan di PAUD Khodijah Aisyiyah Kecamatan Camplong Kabupaten Sampang. </w:t>
      </w:r>
      <w:r w:rsidRPr="00847E2A">
        <w:rPr>
          <w:rFonts w:ascii="Book Antiqua" w:hAnsi="Book Antiqua" w:cs="Times New Roman"/>
          <w:i/>
          <w:iCs/>
          <w:noProof/>
        </w:rPr>
        <w:t>Jurnal Anak Usia Dini Dan Pendidikan Anak Usia Dini</w:t>
      </w:r>
      <w:r w:rsidRPr="00847E2A">
        <w:rPr>
          <w:rFonts w:ascii="Book Antiqua" w:hAnsi="Book Antiqua" w:cs="Times New Roman"/>
          <w:noProof/>
        </w:rPr>
        <w:t xml:space="preserve">, </w:t>
      </w:r>
      <w:r w:rsidRPr="00847E2A">
        <w:rPr>
          <w:rFonts w:ascii="Book Antiqua" w:hAnsi="Book Antiqua" w:cs="Times New Roman"/>
          <w:i/>
          <w:iCs/>
          <w:noProof/>
        </w:rPr>
        <w:t>6</w:t>
      </w:r>
      <w:r w:rsidRPr="00847E2A">
        <w:rPr>
          <w:rFonts w:ascii="Book Antiqua" w:hAnsi="Book Antiqua" w:cs="Times New Roman"/>
          <w:noProof/>
        </w:rPr>
        <w:t>(1), 76–82.</w:t>
      </w:r>
    </w:p>
    <w:p w14:paraId="621C406E"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Valashjardi, A., MacLean, R., &amp; Charles, K. (2020). Recollections of parenting styles in the development of narcissism: The role of gender. </w:t>
      </w:r>
      <w:r w:rsidRPr="00847E2A">
        <w:rPr>
          <w:rFonts w:ascii="Book Antiqua" w:hAnsi="Book Antiqua" w:cs="Times New Roman"/>
          <w:i/>
          <w:iCs/>
          <w:noProof/>
        </w:rPr>
        <w:t>Personality and Individual Differences</w:t>
      </w:r>
      <w:r w:rsidRPr="00847E2A">
        <w:rPr>
          <w:rFonts w:ascii="Book Antiqua" w:hAnsi="Book Antiqua" w:cs="Times New Roman"/>
          <w:noProof/>
        </w:rPr>
        <w:t xml:space="preserve">, </w:t>
      </w:r>
      <w:r w:rsidRPr="00847E2A">
        <w:rPr>
          <w:rFonts w:ascii="Book Antiqua" w:hAnsi="Book Antiqua" w:cs="Times New Roman"/>
          <w:i/>
          <w:iCs/>
          <w:noProof/>
        </w:rPr>
        <w:t>167</w:t>
      </w:r>
      <w:r w:rsidRPr="00847E2A">
        <w:rPr>
          <w:rFonts w:ascii="Book Antiqua" w:hAnsi="Book Antiqua" w:cs="Times New Roman"/>
          <w:noProof/>
        </w:rPr>
        <w:t>(July), 110246. https://doi.org/10.1016/j.paid.2020.110246</w:t>
      </w:r>
    </w:p>
    <w:p w14:paraId="70E0AD7A"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van Herwijnen, I. R., van der Borg, J. A. M., Naguib, M., &amp; Beerda, B. (2020). Dog-directed parenting styles predict verbal and leash guidance in dog owners and owner-directed attention in dogs. </w:t>
      </w:r>
      <w:r w:rsidRPr="00847E2A">
        <w:rPr>
          <w:rFonts w:ascii="Book Antiqua" w:hAnsi="Book Antiqua" w:cs="Times New Roman"/>
          <w:i/>
          <w:iCs/>
          <w:noProof/>
        </w:rPr>
        <w:t>Applied Animal Behaviour Science</w:t>
      </w:r>
      <w:r w:rsidRPr="00847E2A">
        <w:rPr>
          <w:rFonts w:ascii="Book Antiqua" w:hAnsi="Book Antiqua" w:cs="Times New Roman"/>
          <w:noProof/>
        </w:rPr>
        <w:t xml:space="preserve">, </w:t>
      </w:r>
      <w:r w:rsidRPr="00847E2A">
        <w:rPr>
          <w:rFonts w:ascii="Book Antiqua" w:hAnsi="Book Antiqua" w:cs="Times New Roman"/>
          <w:i/>
          <w:iCs/>
          <w:noProof/>
        </w:rPr>
        <w:t>232</w:t>
      </w:r>
      <w:r w:rsidRPr="00847E2A">
        <w:rPr>
          <w:rFonts w:ascii="Book Antiqua" w:hAnsi="Book Antiqua" w:cs="Times New Roman"/>
          <w:noProof/>
        </w:rPr>
        <w:t>, 105131. https://doi.org/10.1016/j.applanim.2020.105131</w:t>
      </w:r>
    </w:p>
    <w:p w14:paraId="766C0246"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Xia, X. (2020). Parenting style and Chinese children’s school readiness outcomes: The moderating role of socioeconomic status. </w:t>
      </w:r>
      <w:r w:rsidRPr="00847E2A">
        <w:rPr>
          <w:rFonts w:ascii="Book Antiqua" w:hAnsi="Book Antiqua" w:cs="Times New Roman"/>
          <w:i/>
          <w:iCs/>
          <w:noProof/>
        </w:rPr>
        <w:t>Children and Youth Services Review</w:t>
      </w:r>
      <w:r w:rsidRPr="00847E2A">
        <w:rPr>
          <w:rFonts w:ascii="Book Antiqua" w:hAnsi="Book Antiqua" w:cs="Times New Roman"/>
          <w:noProof/>
        </w:rPr>
        <w:t xml:space="preserve">, </w:t>
      </w:r>
      <w:r w:rsidRPr="00847E2A">
        <w:rPr>
          <w:rFonts w:ascii="Book Antiqua" w:hAnsi="Book Antiqua" w:cs="Times New Roman"/>
          <w:i/>
          <w:iCs/>
          <w:noProof/>
        </w:rPr>
        <w:t>118</w:t>
      </w:r>
      <w:r w:rsidRPr="00847E2A">
        <w:rPr>
          <w:rFonts w:ascii="Book Antiqua" w:hAnsi="Book Antiqua" w:cs="Times New Roman"/>
          <w:noProof/>
        </w:rPr>
        <w:t>(April), 105381. https://doi.org/10.1016/j.childyouth.2020.105381</w:t>
      </w:r>
    </w:p>
    <w:p w14:paraId="28A0396F" w14:textId="77777777" w:rsidR="00847E2A" w:rsidRPr="00847E2A" w:rsidRDefault="00847E2A" w:rsidP="00847E2A">
      <w:pPr>
        <w:widowControl w:val="0"/>
        <w:autoSpaceDE w:val="0"/>
        <w:autoSpaceDN w:val="0"/>
        <w:adjustRightInd w:val="0"/>
        <w:spacing w:after="0" w:line="240" w:lineRule="auto"/>
        <w:ind w:left="480" w:hanging="480"/>
        <w:jc w:val="both"/>
        <w:rPr>
          <w:rFonts w:ascii="Book Antiqua" w:hAnsi="Book Antiqua" w:cs="Times New Roman"/>
          <w:noProof/>
        </w:rPr>
      </w:pPr>
      <w:r w:rsidRPr="00847E2A">
        <w:rPr>
          <w:rFonts w:ascii="Book Antiqua" w:hAnsi="Book Antiqua" w:cs="Times New Roman"/>
          <w:noProof/>
        </w:rPr>
        <w:t xml:space="preserve">Yalçıntuğ, F. M., &amp; Ayar, D. (2020). Psychometric properties of the Turkish version of the epilepsy-related fears in parents questionnaire. </w:t>
      </w:r>
      <w:r w:rsidRPr="00847E2A">
        <w:rPr>
          <w:rFonts w:ascii="Book Antiqua" w:hAnsi="Book Antiqua" w:cs="Times New Roman"/>
          <w:i/>
          <w:iCs/>
          <w:noProof/>
        </w:rPr>
        <w:t>Journal of Pediatric Nursing</w:t>
      </w:r>
      <w:r w:rsidRPr="00847E2A">
        <w:rPr>
          <w:rFonts w:ascii="Book Antiqua" w:hAnsi="Book Antiqua" w:cs="Times New Roman"/>
          <w:noProof/>
        </w:rPr>
        <w:t>. https://doi.org/10.1016/j.pedn.2020.10.009</w:t>
      </w:r>
    </w:p>
    <w:p w14:paraId="01102C68" w14:textId="25C8107F" w:rsidR="000B5550" w:rsidRPr="00AB089F" w:rsidRDefault="00847E2A" w:rsidP="00847E2A">
      <w:pPr>
        <w:widowControl w:val="0"/>
        <w:autoSpaceDE w:val="0"/>
        <w:autoSpaceDN w:val="0"/>
        <w:adjustRightInd w:val="0"/>
        <w:spacing w:after="0" w:line="240" w:lineRule="auto"/>
        <w:jc w:val="both"/>
        <w:rPr>
          <w:rFonts w:ascii="Book Antiqua" w:hAnsi="Book Antiqua" w:cs="Times New Roman"/>
          <w:color w:val="000000"/>
        </w:rPr>
      </w:pPr>
      <w:r w:rsidRPr="00847E2A">
        <w:rPr>
          <w:rFonts w:ascii="Book Antiqua" w:hAnsi="Book Antiqua" w:cs="Times New Roman"/>
        </w:rPr>
        <w:fldChar w:fldCharType="end"/>
      </w:r>
    </w:p>
    <w:sectPr w:rsidR="000B5550" w:rsidRPr="00AB089F" w:rsidSect="006A1955">
      <w:headerReference w:type="even" r:id="rId11"/>
      <w:headerReference w:type="default" r:id="rId12"/>
      <w:footerReference w:type="even" r:id="rId13"/>
      <w:footerReference w:type="default" r:id="rId14"/>
      <w:footerReference w:type="first" r:id="rId15"/>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EFF16" w14:textId="77777777" w:rsidR="004A1282" w:rsidRDefault="004A1282" w:rsidP="00EE7164">
      <w:pPr>
        <w:spacing w:after="0" w:line="240" w:lineRule="auto"/>
      </w:pPr>
      <w:r>
        <w:separator/>
      </w:r>
    </w:p>
  </w:endnote>
  <w:endnote w:type="continuationSeparator" w:id="0">
    <w:p w14:paraId="4331E354" w14:textId="77777777" w:rsidR="004A1282" w:rsidRDefault="004A1282"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default"/>
    <w:sig w:usb0="FFFFFFFF" w:usb1="E9FFFFFF" w:usb2="0000003F" w:usb3="00000000" w:csb0="603F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984A25"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5</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08FAF" w14:textId="77777777" w:rsidR="004A1282" w:rsidRDefault="004A1282" w:rsidP="00EE7164">
      <w:pPr>
        <w:spacing w:after="0" w:line="240" w:lineRule="auto"/>
      </w:pPr>
      <w:r>
        <w:separator/>
      </w:r>
    </w:p>
  </w:footnote>
  <w:footnote w:type="continuationSeparator" w:id="0">
    <w:p w14:paraId="68FE946A" w14:textId="77777777" w:rsidR="004A1282" w:rsidRDefault="004A1282"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FDB2D" w14:textId="77777777" w:rsidR="009C4C44" w:rsidRPr="00D22F31" w:rsidRDefault="009C4C44" w:rsidP="009C4C44">
    <w:pPr>
      <w:pStyle w:val="Header"/>
      <w:pBdr>
        <w:between w:val="single" w:sz="4" w:space="1" w:color="4F81BD"/>
      </w:pBdr>
      <w:jc w:val="right"/>
      <w:rPr>
        <w:sz w:val="20"/>
      </w:rPr>
    </w:pPr>
    <w:r>
      <w:rPr>
        <w:rFonts w:ascii="Book Antiqua" w:hAnsi="Book Antiqua"/>
        <w:sz w:val="18"/>
      </w:rPr>
      <w:t>Judul artikel</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15:restartNumberingAfterBreak="0">
    <w:nsid w:val="4189603E"/>
    <w:multiLevelType w:val="multilevel"/>
    <w:tmpl w:val="F3FA876A"/>
    <w:lvl w:ilvl="0">
      <w:start w:val="1"/>
      <w:numFmt w:val="upperRoman"/>
      <w:pStyle w:val="Heading1"/>
      <w:lvlText w:val="%1."/>
      <w:lvlJc w:val="cente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6"/>
  </w:num>
  <w:num w:numId="3">
    <w:abstractNumId w:val="3"/>
  </w:num>
  <w:num w:numId="4">
    <w:abstractNumId w:val="7"/>
  </w:num>
  <w:num w:numId="5">
    <w:abstractNumId w:val="1"/>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3F"/>
    <w:rsid w:val="000325AC"/>
    <w:rsid w:val="0006078F"/>
    <w:rsid w:val="000704A2"/>
    <w:rsid w:val="0008399F"/>
    <w:rsid w:val="00083B2C"/>
    <w:rsid w:val="000A3343"/>
    <w:rsid w:val="000B5550"/>
    <w:rsid w:val="000D7809"/>
    <w:rsid w:val="000D79F6"/>
    <w:rsid w:val="000E0F5B"/>
    <w:rsid w:val="00114B7A"/>
    <w:rsid w:val="001222C6"/>
    <w:rsid w:val="00124BBE"/>
    <w:rsid w:val="001345A9"/>
    <w:rsid w:val="00144C13"/>
    <w:rsid w:val="00145C6A"/>
    <w:rsid w:val="00151B77"/>
    <w:rsid w:val="00192359"/>
    <w:rsid w:val="001A3E9A"/>
    <w:rsid w:val="001B6D6F"/>
    <w:rsid w:val="001C71C7"/>
    <w:rsid w:val="001D2AE4"/>
    <w:rsid w:val="001D5C36"/>
    <w:rsid w:val="002026F9"/>
    <w:rsid w:val="00233EF5"/>
    <w:rsid w:val="00240AA5"/>
    <w:rsid w:val="00272DF7"/>
    <w:rsid w:val="00296A9A"/>
    <w:rsid w:val="002A6B39"/>
    <w:rsid w:val="002B2128"/>
    <w:rsid w:val="002B7E55"/>
    <w:rsid w:val="002C7186"/>
    <w:rsid w:val="002D4F8F"/>
    <w:rsid w:val="002E2FDA"/>
    <w:rsid w:val="003109D7"/>
    <w:rsid w:val="00334547"/>
    <w:rsid w:val="00355458"/>
    <w:rsid w:val="00386922"/>
    <w:rsid w:val="003A3C48"/>
    <w:rsid w:val="003C0772"/>
    <w:rsid w:val="003C0A17"/>
    <w:rsid w:val="00426421"/>
    <w:rsid w:val="004352CF"/>
    <w:rsid w:val="00442FCF"/>
    <w:rsid w:val="00470A62"/>
    <w:rsid w:val="004716EB"/>
    <w:rsid w:val="0048220B"/>
    <w:rsid w:val="004843DB"/>
    <w:rsid w:val="0048753B"/>
    <w:rsid w:val="00490485"/>
    <w:rsid w:val="00493867"/>
    <w:rsid w:val="004A1282"/>
    <w:rsid w:val="004B2409"/>
    <w:rsid w:val="004B4B58"/>
    <w:rsid w:val="004B58E5"/>
    <w:rsid w:val="004E0682"/>
    <w:rsid w:val="004F307E"/>
    <w:rsid w:val="005046CE"/>
    <w:rsid w:val="00537336"/>
    <w:rsid w:val="00545BBA"/>
    <w:rsid w:val="005474D6"/>
    <w:rsid w:val="00562B31"/>
    <w:rsid w:val="00580D03"/>
    <w:rsid w:val="0059795A"/>
    <w:rsid w:val="005B148C"/>
    <w:rsid w:val="00607BCC"/>
    <w:rsid w:val="0061593B"/>
    <w:rsid w:val="00650D9C"/>
    <w:rsid w:val="0068738D"/>
    <w:rsid w:val="006A1955"/>
    <w:rsid w:val="006C0542"/>
    <w:rsid w:val="006F10B4"/>
    <w:rsid w:val="006F14D5"/>
    <w:rsid w:val="00756BA1"/>
    <w:rsid w:val="007822BE"/>
    <w:rsid w:val="00787CB6"/>
    <w:rsid w:val="007D4702"/>
    <w:rsid w:val="007F2A8E"/>
    <w:rsid w:val="00804E8A"/>
    <w:rsid w:val="0083365C"/>
    <w:rsid w:val="0084186A"/>
    <w:rsid w:val="00842CF3"/>
    <w:rsid w:val="008460EC"/>
    <w:rsid w:val="00847E2A"/>
    <w:rsid w:val="008548A8"/>
    <w:rsid w:val="0088104A"/>
    <w:rsid w:val="008C6AFD"/>
    <w:rsid w:val="008D364A"/>
    <w:rsid w:val="008D5417"/>
    <w:rsid w:val="008F2419"/>
    <w:rsid w:val="009075F7"/>
    <w:rsid w:val="009235C8"/>
    <w:rsid w:val="00961186"/>
    <w:rsid w:val="009623B8"/>
    <w:rsid w:val="00965D40"/>
    <w:rsid w:val="00976E26"/>
    <w:rsid w:val="00984377"/>
    <w:rsid w:val="00984A25"/>
    <w:rsid w:val="009B7C2C"/>
    <w:rsid w:val="009C4C44"/>
    <w:rsid w:val="009D1CF8"/>
    <w:rsid w:val="009E0B55"/>
    <w:rsid w:val="00A119AF"/>
    <w:rsid w:val="00A14E03"/>
    <w:rsid w:val="00A47C66"/>
    <w:rsid w:val="00A77DF5"/>
    <w:rsid w:val="00A8118E"/>
    <w:rsid w:val="00AB04D0"/>
    <w:rsid w:val="00AB089F"/>
    <w:rsid w:val="00AB28DE"/>
    <w:rsid w:val="00AE65A5"/>
    <w:rsid w:val="00AE7C38"/>
    <w:rsid w:val="00AE7D7D"/>
    <w:rsid w:val="00B00BA5"/>
    <w:rsid w:val="00B016A2"/>
    <w:rsid w:val="00B02827"/>
    <w:rsid w:val="00B071F4"/>
    <w:rsid w:val="00B07EA9"/>
    <w:rsid w:val="00B13094"/>
    <w:rsid w:val="00B22BFF"/>
    <w:rsid w:val="00B74B03"/>
    <w:rsid w:val="00B876C5"/>
    <w:rsid w:val="00B97879"/>
    <w:rsid w:val="00C04977"/>
    <w:rsid w:val="00C05A60"/>
    <w:rsid w:val="00C106FF"/>
    <w:rsid w:val="00C4133F"/>
    <w:rsid w:val="00C44561"/>
    <w:rsid w:val="00C463B0"/>
    <w:rsid w:val="00C47D2F"/>
    <w:rsid w:val="00C64782"/>
    <w:rsid w:val="00C7097B"/>
    <w:rsid w:val="00C90C92"/>
    <w:rsid w:val="00CA003A"/>
    <w:rsid w:val="00CA2C91"/>
    <w:rsid w:val="00CB1BCC"/>
    <w:rsid w:val="00CC0A6E"/>
    <w:rsid w:val="00CD08CD"/>
    <w:rsid w:val="00CD62F0"/>
    <w:rsid w:val="00CE6CE1"/>
    <w:rsid w:val="00D50F62"/>
    <w:rsid w:val="00D60565"/>
    <w:rsid w:val="00D81B4A"/>
    <w:rsid w:val="00D84C0D"/>
    <w:rsid w:val="00D87737"/>
    <w:rsid w:val="00DB7962"/>
    <w:rsid w:val="00DC3199"/>
    <w:rsid w:val="00DE5ACE"/>
    <w:rsid w:val="00DF03E9"/>
    <w:rsid w:val="00E20841"/>
    <w:rsid w:val="00E34E07"/>
    <w:rsid w:val="00E84FA0"/>
    <w:rsid w:val="00E938EB"/>
    <w:rsid w:val="00EE5361"/>
    <w:rsid w:val="00EE7164"/>
    <w:rsid w:val="00EF4E84"/>
    <w:rsid w:val="00F20D63"/>
    <w:rsid w:val="00F40E00"/>
    <w:rsid w:val="00F43ABA"/>
    <w:rsid w:val="00F52EC1"/>
    <w:rsid w:val="00F56FCD"/>
    <w:rsid w:val="00F84B3F"/>
    <w:rsid w:val="00F93889"/>
    <w:rsid w:val="00F97C71"/>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89F"/>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uiPriority w:val="59"/>
    <w:rsid w:val="003109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419519283">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solidFill>
                  <a:sysClr val="windowText" lastClr="000000"/>
                </a:solidFill>
                <a:latin typeface="Book Antiqua" panose="02040602050305030304" pitchFamily="18" charset="0"/>
              </a:rPr>
              <a:t>Jumlah Anak Usia Dini</a:t>
            </a:r>
            <a:r>
              <a:rPr lang="en-US" sz="1000" baseline="0">
                <a:solidFill>
                  <a:sysClr val="windowText" lastClr="000000"/>
                </a:solidFill>
                <a:latin typeface="Book Antiqua" panose="02040602050305030304" pitchFamily="18" charset="0"/>
              </a:rPr>
              <a:t> </a:t>
            </a:r>
            <a:r>
              <a:rPr lang="en-US" sz="1000">
                <a:solidFill>
                  <a:sysClr val="windowText" lastClr="000000"/>
                </a:solidFill>
                <a:latin typeface="Book Antiqua" panose="02040602050305030304" pitchFamily="18" charset="0"/>
              </a:rPr>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Sheet1!$D$4</c:f>
              <c:strCache>
                <c:ptCount val="1"/>
                <c:pt idx="0">
                  <c:v>Jumlah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ED2-4D26-8BC1-70B1B4D28A7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ED2-4D26-8BC1-70B1B4D28A7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Sheet1!$C$5:$C$6</c:f>
              <c:strCache>
                <c:ptCount val="2"/>
                <c:pt idx="0">
                  <c:v>Laki-laki</c:v>
                </c:pt>
                <c:pt idx="1">
                  <c:v>Perempuan </c:v>
                </c:pt>
              </c:strCache>
            </c:strRef>
          </c:cat>
          <c:val>
            <c:numRef>
              <c:f>Sheet1!$D$5:$D$6</c:f>
              <c:numCache>
                <c:formatCode>General</c:formatCode>
                <c:ptCount val="2"/>
                <c:pt idx="0">
                  <c:v>19</c:v>
                </c:pt>
                <c:pt idx="1">
                  <c:v>20</c:v>
                </c:pt>
              </c:numCache>
            </c:numRef>
          </c:val>
          <c:extLst>
            <c:ext xmlns:c16="http://schemas.microsoft.com/office/drawing/2014/chart" uri="{C3380CC4-5D6E-409C-BE32-E72D297353CC}">
              <c16:uniqueId val="{00000004-CED2-4D26-8BC1-70B1B4D28A7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Book Antiqua" panose="02040602050305030304"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27AA6-A551-45C6-B320-F1C394EE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18997</Words>
  <Characters>108284</Characters>
  <Application>Microsoft Office Word</Application>
  <DocSecurity>0</DocSecurity>
  <Lines>902</Lines>
  <Paragraphs>254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127027</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2023-10-13T10:02:00Z</dcterms:created>
  <dcterms:modified xsi:type="dcterms:W3CDTF">2023-10-14T02:08:00Z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